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7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1-39628</w:t>
      </w:r>
    </w:p>
    <w:p>
      <w:pPr>
        <w:spacing w:after="0" w:line="7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________________________________</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PROG HOLDINGS, INC.</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_________________________________</w:t>
      </w:r>
    </w:p>
    <w:p>
      <w:pPr>
        <w:spacing w:after="0" w:line="118" w:lineRule="exact"/>
        <w:rPr>
          <w:sz w:val="24"/>
          <w:szCs w:val="24"/>
          <w:color w:val="auto"/>
        </w:rPr>
      </w:pPr>
    </w:p>
    <w:p>
      <w:pPr>
        <w:ind w:left="2900"/>
        <w:spacing w:after="0"/>
        <w:tabs>
          <w:tab w:leader="none" w:pos="8080" w:val="left"/>
        </w:tabs>
        <w:rPr>
          <w:sz w:val="20"/>
          <w:szCs w:val="20"/>
          <w:color w:val="auto"/>
        </w:rPr>
      </w:pPr>
      <w:r>
        <w:rPr>
          <w:rFonts w:ascii="Times New Roman" w:cs="Times New Roman" w:eastAsia="Times New Roman" w:hAnsi="Times New Roman"/>
          <w:sz w:val="18"/>
          <w:szCs w:val="18"/>
          <w:b w:val="1"/>
          <w:bCs w:val="1"/>
          <w:color w:val="auto"/>
        </w:rPr>
        <w:t>Georgia</w:t>
      </w:r>
      <w:r>
        <w:rPr>
          <w:sz w:val="20"/>
          <w:szCs w:val="20"/>
          <w:color w:val="auto"/>
        </w:rPr>
        <w:tab/>
      </w:r>
      <w:r>
        <w:rPr>
          <w:rFonts w:ascii="Times New Roman" w:cs="Times New Roman" w:eastAsia="Times New Roman" w:hAnsi="Times New Roman"/>
          <w:sz w:val="18"/>
          <w:szCs w:val="18"/>
          <w:b w:val="1"/>
          <w:bCs w:val="1"/>
          <w:color w:val="auto"/>
        </w:rPr>
        <w:t>85-2484385</w:t>
      </w:r>
    </w:p>
    <w:p>
      <w:pPr>
        <w:spacing w:after="0" w:line="39" w:lineRule="exact"/>
        <w:rPr>
          <w:sz w:val="24"/>
          <w:szCs w:val="24"/>
          <w:color w:val="auto"/>
        </w:rPr>
      </w:pPr>
    </w:p>
    <w:p>
      <w:pPr>
        <w:ind w:left="2300"/>
        <w:spacing w:after="0"/>
        <w:tabs>
          <w:tab w:leader="none" w:pos="796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 R. S. Employer</w:t>
      </w:r>
    </w:p>
    <w:p>
      <w:pPr>
        <w:ind w:left="2260"/>
        <w:spacing w:after="0"/>
        <w:tabs>
          <w:tab w:leader="none" w:pos="79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2760"/>
        <w:spacing w:after="0"/>
        <w:tabs>
          <w:tab w:leader="none" w:pos="4360" w:val="left"/>
          <w:tab w:leader="none" w:pos="5380" w:val="left"/>
          <w:tab w:leader="none" w:pos="8080" w:val="left"/>
        </w:tabs>
        <w:rPr>
          <w:sz w:val="20"/>
          <w:szCs w:val="20"/>
          <w:color w:val="auto"/>
        </w:rPr>
      </w:pPr>
      <w:r>
        <w:rPr>
          <w:rFonts w:ascii="Times New Roman" w:cs="Times New Roman" w:eastAsia="Times New Roman" w:hAnsi="Times New Roman"/>
          <w:sz w:val="18"/>
          <w:szCs w:val="18"/>
          <w:b w:val="1"/>
          <w:bCs w:val="1"/>
          <w:color w:val="auto"/>
        </w:rPr>
        <w:t>256 W. Data Drive</w:t>
        <w:tab/>
        <w:t>Draper,</w:t>
      </w:r>
      <w:r>
        <w:rPr>
          <w:sz w:val="20"/>
          <w:szCs w:val="20"/>
          <w:color w:val="auto"/>
        </w:rPr>
        <w:tab/>
      </w:r>
      <w:r>
        <w:rPr>
          <w:rFonts w:ascii="Times New Roman" w:cs="Times New Roman" w:eastAsia="Times New Roman" w:hAnsi="Times New Roman"/>
          <w:sz w:val="18"/>
          <w:szCs w:val="18"/>
          <w:b w:val="1"/>
          <w:bCs w:val="1"/>
          <w:color w:val="auto"/>
        </w:rPr>
        <w:t>Utah</w:t>
      </w:r>
      <w:r>
        <w:rPr>
          <w:sz w:val="20"/>
          <w:szCs w:val="20"/>
          <w:color w:val="auto"/>
        </w:rPr>
        <w:tab/>
      </w:r>
      <w:r>
        <w:rPr>
          <w:rFonts w:ascii="Times New Roman" w:cs="Times New Roman" w:eastAsia="Times New Roman" w:hAnsi="Times New Roman"/>
          <w:sz w:val="17"/>
          <w:szCs w:val="17"/>
          <w:b w:val="1"/>
          <w:bCs w:val="1"/>
          <w:color w:val="auto"/>
        </w:rPr>
        <w:t>84020-2315</w:t>
      </w:r>
    </w:p>
    <w:p>
      <w:pPr>
        <w:spacing w:after="0" w:line="31" w:lineRule="exact"/>
        <w:rPr>
          <w:sz w:val="24"/>
          <w:szCs w:val="24"/>
          <w:color w:val="auto"/>
        </w:rPr>
      </w:pPr>
    </w:p>
    <w:p>
      <w:pPr>
        <w:ind w:left="2020"/>
        <w:spacing w:after="0"/>
        <w:tabs>
          <w:tab w:leader="none" w:pos="81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(385) 351-1369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p>
      <w:pPr>
        <w:ind w:left="1700"/>
        <w:spacing w:after="0"/>
        <w:tabs>
          <w:tab w:leader="none" w:pos="5040" w:val="left"/>
          <w:tab w:leader="none" w:pos="75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ind w:left="1000"/>
        <w:spacing w:after="0"/>
        <w:tabs>
          <w:tab w:leader="none" w:pos="5320" w:val="left"/>
          <w:tab w:leader="none" w:pos="7880" w:val="left"/>
        </w:tabs>
        <w:rPr>
          <w:sz w:val="20"/>
          <w:szCs w:val="20"/>
          <w:color w:val="auto"/>
        </w:rPr>
      </w:pPr>
      <w:r>
        <w:rPr>
          <w:rFonts w:ascii="Times New Roman" w:cs="Times New Roman" w:eastAsia="Times New Roman" w:hAnsi="Times New Roman"/>
          <w:sz w:val="18"/>
          <w:szCs w:val="18"/>
          <w:b w:val="1"/>
          <w:bCs w:val="1"/>
          <w:color w:val="auto"/>
        </w:rPr>
        <w:t>Common Stock, $0.50 Par Value</w:t>
      </w:r>
      <w:r>
        <w:rPr>
          <w:sz w:val="20"/>
          <w:szCs w:val="20"/>
          <w:color w:val="auto"/>
        </w:rPr>
        <w:tab/>
      </w:r>
      <w:r>
        <w:rPr>
          <w:rFonts w:ascii="Times New Roman" w:cs="Times New Roman" w:eastAsia="Times New Roman" w:hAnsi="Times New Roman"/>
          <w:sz w:val="18"/>
          <w:szCs w:val="18"/>
          <w:b w:val="1"/>
          <w:bCs w:val="1"/>
          <w:color w:val="auto"/>
        </w:rPr>
        <w:t>PRG</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240" w:lineRule="exact"/>
        <w:rPr>
          <w:sz w:val="24"/>
          <w:szCs w:val="24"/>
          <w:color w:val="auto"/>
        </w:rPr>
      </w:pPr>
    </w:p>
    <w:p>
      <w:pPr>
        <w:jc w:val="both"/>
        <w:ind w:right="380" w:firstLine="1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40" w:firstLine="18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512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0"/>
        </w:trPr>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0840" w:type="dxa"/>
            <w:vAlign w:val="bottom"/>
            <w:gridSpan w:val="3"/>
          </w:tcPr>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5120" w:type="dxa"/>
            <w:vAlign w:val="bottom"/>
            <w:vMerge w:val="restart"/>
          </w:tcPr>
          <w:p>
            <w:pPr>
              <w:jc w:val="right"/>
              <w:ind w:right="381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Shares Outstanding as of</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April 24, 2026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2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Common Stock, $0.50 Par Value</w:t>
            </w: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8"/>
                <w:szCs w:val="18"/>
                <w:color w:val="auto"/>
              </w:rPr>
              <w:t>40,065,564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35" w:right="379" w:bottom="592" w:gutter="0" w:footer="0" w:header="0"/>
        </w:sect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35" w:right="379" w:bottom="592"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94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Sheets – March 31, 2026 (Unaudited) and December 31, 2025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Earnings (Unaudited) – Three Months Ended March 31, 2026 and 2025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 Three Months Ended March 31, 2026 and 2025</w:t>
            </w:r>
          </w:p>
        </w:tc>
        <w:tc>
          <w:tcPr>
            <w:tcW w:w="24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320" w:type="dxa"/>
            <w:vAlign w:val="bottom"/>
            <w:gridSpan w:val="4"/>
          </w:tcPr>
          <w:p>
            <w:pPr>
              <w:spacing w:after="0"/>
              <w:rPr>
                <w:sz w:val="22"/>
                <w:szCs w:val="22"/>
                <w:color w:val="auto"/>
              </w:rPr>
            </w:pPr>
          </w:p>
        </w:tc>
        <w:tc>
          <w:tcPr>
            <w:tcW w:w="24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4000" w:type="dxa"/>
            <w:vAlign w:val="bottom"/>
            <w:gridSpan w:val="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610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8240" w:type="dxa"/>
            <w:vAlign w:val="bottom"/>
            <w:gridSpan w:val="10"/>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91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942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12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34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140" w:type="dxa"/>
            <w:vAlign w:val="bottom"/>
            <w:gridSpan w:val="9"/>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2"/>
                <w:szCs w:val="22"/>
                <w:color w:val="auto"/>
              </w:rPr>
            </w:pPr>
          </w:p>
        </w:tc>
        <w:tc>
          <w:tcPr>
            <w:tcW w:w="8700" w:type="dxa"/>
            <w:vAlign w:val="bottom"/>
            <w:gridSpan w:val="11"/>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0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860" w:type="dxa"/>
            <w:vAlign w:val="bottom"/>
            <w:gridSpan w:val="16"/>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22"/>
                <w:szCs w:val="22"/>
                <w:color w:val="auto"/>
              </w:rPr>
            </w:pPr>
          </w:p>
        </w:tc>
      </w:tr>
      <w:tr>
        <w:trPr>
          <w:trHeight w:val="925"/>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3"/>
          </w:tcPr>
          <w:p>
            <w:pPr>
              <w:jc w:val="right"/>
              <w:ind w:right="13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58"/>
        </w:trPr>
        <w:tc>
          <w:tcPr>
            <w:tcW w:w="7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center"/>
              <w:ind w:right="252"/>
              <w:spacing w:after="0" w:line="15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3"/>
                <w:szCs w:val="13"/>
                <w:color w:val="auto"/>
              </w:rPr>
            </w:pPr>
          </w:p>
        </w:tc>
        <w:tc>
          <w:tcPr>
            <w:tcW w:w="1480" w:type="dxa"/>
            <w:vAlign w:val="bottom"/>
          </w:tcPr>
          <w:p>
            <w:pPr>
              <w:jc w:val="right"/>
              <w:ind w:right="371"/>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6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69,386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308,774</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10,116</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Receivables (net of allowances and unearned interest income of $80,638 in 2026 and $68,806 in</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762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2025; includes $203,043 recorded at fair value in 2026)</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387,586</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74,228</w:t>
            </w:r>
          </w:p>
        </w:tc>
      </w:tr>
      <w:tr>
        <w:trPr>
          <w:trHeight w:val="176"/>
        </w:trPr>
        <w:tc>
          <w:tcPr>
            <w:tcW w:w="76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receivables (net of allowances and unearned interest income of $3,344 in 2026 and $0 in 2025;</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762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includes $20,891 recorded at fair value in 2026)</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34,588</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6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Lease merchandise (net of accumulated depreciation and allowances of $412,002 in 2026 and</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$407,104 in 2025)</w:t>
            </w: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531,292</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609,009</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receivable (net of allowances and unamortized fees of $18,055 in 2026 and $18,246 in 2025)</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71,000</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90,648</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21,817</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other intangibles,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771,676</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353,835</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26,601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47,894</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19,311</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86,649</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73,383</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12,490</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r>
      <w:tr>
        <w:trPr>
          <w:trHeight w:val="223"/>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2,042,512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1,610,408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136,967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96,471</w:t>
            </w:r>
          </w:p>
        </w:tc>
      </w:tr>
      <w:tr>
        <w:trPr>
          <w:trHeight w:val="230"/>
        </w:trPr>
        <w:tc>
          <w:tcPr>
            <w:tcW w:w="76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Debt, net</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936,122</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594,861</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147,922</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121,152</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43,759</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44,676</w:t>
            </w:r>
          </w:p>
        </w:tc>
      </w:tr>
      <w:tr>
        <w:trPr>
          <w:trHeight w:val="230"/>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3,387</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23"/>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1,268,157</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863,991</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75"/>
        </w:trPr>
        <w:tc>
          <w:tcPr>
            <w:tcW w:w="76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$0.50 per share: authorized: 225,000,000 shares at March 31, 2026 and</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2025; shares issued: 82,078,654 at March 31, 2026 and December 31, 2025</w:t>
            </w: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41,039</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348,486</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363,583</w:t>
            </w:r>
          </w:p>
        </w:tc>
      </w:tr>
      <w:tr>
        <w:trPr>
          <w:trHeight w:val="230"/>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1,624,879</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1,594,685</w:t>
            </w:r>
          </w:p>
        </w:tc>
      </w:tr>
      <w:tr>
        <w:trPr>
          <w:trHeight w:val="223"/>
        </w:trPr>
        <w:tc>
          <w:tcPr>
            <w:tcW w:w="7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2,014,404</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1,999,307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treasury shares at cost</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42,014,857 shares at March 31, 2026 and 42,502,844 at December 31, 2025</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(1,240,049)</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(1,252,890)</w:t>
            </w:r>
          </w:p>
        </w:tc>
      </w:tr>
      <w:tr>
        <w:trPr>
          <w:trHeight w:val="223"/>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774,355</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746,417</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2,042,512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1,610,408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80" w:right="220" w:hanging="72"/>
        <w:spacing w:after="0" w:line="302" w:lineRule="auto"/>
        <w:tabs>
          <w:tab w:leader="none" w:pos="69"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March 31, 2026, receivables included $375.1 million of contractual amounts outstanding of consolidated VIEs that can only be used to settle their obligations, and debt included $293.7 million of liabilities of consolidated VIEs for which creditors have no recourse to the Company. See Note 1.</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596,864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651,557</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and service revenues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106,406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39,404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w:t>
            </w:r>
          </w:p>
        </w:tc>
      </w:tr>
      <w:tr>
        <w:trPr>
          <w:trHeight w:val="223"/>
        </w:trPr>
        <w:tc>
          <w:tcPr>
            <w:tcW w:w="8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742,674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668,428</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409,010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460,443</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62,506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43,651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48,018</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150,200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98,124</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24,167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r>
      <w:tr>
        <w:trPr>
          <w:trHeight w:val="223"/>
        </w:trPr>
        <w:tc>
          <w:tcPr>
            <w:tcW w:w="8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689,534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612,086</w:t>
            </w:r>
          </w:p>
        </w:tc>
      </w:tr>
      <w:tr>
        <w:trPr>
          <w:trHeight w:val="22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lease receivables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6,457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Gain on change in fair value of receivables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5,712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65,309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56,342</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 before income tax expense</w:t>
            </w:r>
          </w:p>
        </w:tc>
        <w:tc>
          <w:tcPr>
            <w:tcW w:w="2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47,563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11,345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from continuing operations</w:t>
            </w:r>
          </w:p>
        </w:tc>
        <w:tc>
          <w:tcPr>
            <w:tcW w:w="2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36,218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from discontinued operations,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36,054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basic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0.89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dividend declared per share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39,898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40,841</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40,810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41,851</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40" w:type="dxa"/>
            <w:vAlign w:val="bottom"/>
            <w:tcBorders>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36,054</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34,718</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operating activities:</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409,010</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460,443</w:t>
            </w:r>
          </w:p>
        </w:tc>
      </w:tr>
      <w:tr>
        <w:trPr>
          <w:trHeight w:val="229"/>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depreciation and amortization</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14,150</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30"/>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Provisions for accounts receivable and credit losses</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100,150</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98,958</w:t>
            </w:r>
          </w:p>
        </w:tc>
      </w:tr>
      <w:tr>
        <w:trPr>
          <w:trHeight w:val="229"/>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7,642</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on change in fair value of receivables</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7,756</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on sale of receivables</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Non-cash lease expense</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changes, net</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the acquisition:</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Additions to lease merchandise</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(389,976)</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(385,254)</w:t>
            </w:r>
          </w:p>
        </w:tc>
      </w:tr>
      <w:tr>
        <w:trPr>
          <w:trHeight w:val="229"/>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Book value of lease merchandise sold or disposed</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58,682</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(70,947)</w:t>
            </w:r>
          </w:p>
        </w:tc>
      </w:tr>
      <w:tr>
        <w:trPr>
          <w:trHeight w:val="230"/>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r>
      <w:tr>
        <w:trPr>
          <w:trHeight w:val="22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receivable and payable</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21,269</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r>
      <w:tr>
        <w:trPr>
          <w:trHeight w:val="230"/>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30"/>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171,699</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209,929</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in loans receivable</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(284,863)</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(165,883)</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loans receivable</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293,997</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163,753</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Funding of other receivables</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Collections from other receivables</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18,821</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0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(391,845)</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(385,874)</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debt</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546,178</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on debt</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(541,108)</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(26,119)</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stock under stock option and employee purchase plans</w:t>
            </w:r>
          </w:p>
        </w:tc>
        <w:tc>
          <w:tcPr>
            <w:tcW w:w="10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shares withheld for employee taxes</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r>
      <w:tr>
        <w:trPr>
          <w:trHeight w:val="229"/>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(88,191)</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(229,272)</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117,646</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308,774</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95,655</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4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79,502</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213,301</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764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cash (received) paid during the period:</w:t>
            </w: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8,722</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80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NOTE 1. BASIS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transparent and competitive payment options to consumers. On January 2, 2026, the Company acquired 100% of the equity interests of P-Squared, LLC and its subsidiaries ("Purchasing Power"). The results of Purchasing Power are included in the Company's condensed consolidated financial statements beginning on the acquisition date.</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31, 2026, PROG Holdings has three reportable segments: (i) Progressive Leasing, an in-store, app-based, and e-commerce point-of-sale lease-to-own solutions provider; (ii) Purchasing Power, a voluntary employee benefit program provider, allowing employees to purchase brand-name products and services through either automatic payroll deductions or allotments and (iii) Four Technologies, Inc. ("Four"), a modern cloud-native mobile app which offers Buy Now, Pay Later ("BNPL") payment options to consumers through the Four platform.</w:t>
      </w:r>
    </w:p>
    <w:p>
      <w:pPr>
        <w:spacing w:after="0" w:line="5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and Puerto Rico (collectively, "POS partners"), as well as through its direct-to-consumer app, PROG Marketplace, which allows consumers to shop hundreds of retailers at their convenience.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4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Our Purchasing Power segment is a voluntary employee benefit program provider allowing employees of its employer-clients to purchase brand-name products and services from Purchasing Power and then pay for those purchases through either automatic payroll deductions or allotments. Millions of employees nationwide have access to Purchasing Power's innovative purchasing options.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Four segment enables customers of all credit backgrounds to pay for purchases over time through four interest-free installment payments generally paid over a six-week period. Four offers transparent, fixed-term options, powered by its proprietary risk-decisioning engine and direct-to-consumer mobile app. Leveraging data science, automation, and machine learning, Four delivers efficient underwriting and consistent credit outcomes while supporting purchases across a diverse range of merchants and product categories. Customers use Four's mobile app to shop for apparel, electronics, furniture, footwear, health and beauty products, travel, and other goods across the United States.</w:t>
      </w:r>
    </w:p>
    <w:p>
      <w:pPr>
        <w:spacing w:after="0" w:line="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PROG Holdings' ecosystem of financial technology offerings also includes MoneyApp, a mobile application that offers customers interest-free cash advances. MoneyApp is not a reportable segment as its financial results are not significant to the Company's condensed consolidated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elevated inflation, higher fuel costs, increasing unemployment rates, and/or the impact of tariffs.</w:t>
      </w:r>
    </w:p>
    <w:p>
      <w:pPr>
        <w:spacing w:after="0" w:line="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2025 (the "2025 Annual Report") filed with the United States Securities and Exchange Commission on February 18, 2026. The results of operations for the three months ended March 31, 2026 are not necessarily indicative of operating results for the full year.</w:t>
      </w: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presents its condensed consolidated balance sheets in order of liquidity, which is consistent with industry practice for financial services and lease-to-own businesses and is meaningful given the nature of the Company's receivable-driven operations.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PROG Holdings, Inc. and its subsidiaries, each of which is wholly-owned.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between consolidated entities have been eliminated.</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consolidates certain variable interest entities ("VIEs") associated with its securitization and financing activities when it is determined to be the primary beneficiary. The Company is considered the primary beneficiary of these entities when it has both (i) the power to direct the activities that most significantly impact the entities' economic performance and (ii) the obligation to absorb losses or the right to receive benefits that could potentially be 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Vive Financial ("Vive"), an omnichannel provider of second-look revolving credit products, had been an operating segment of the Company prior to October 20, 2025, when the Company sold Vive's loans receivable portfolio. In conjunction with the sale, the Company determined that Vive would cease operations and began an orderly wind-down of its activities and obligations, which represents a strategic shift that will have a major effect on the Company's operations and financial results. Accordingly, Vive's results are presented as discontinued operations in the Company's condensed financial statements for all periods presented.</w:t>
      </w:r>
    </w:p>
    <w:p>
      <w:pPr>
        <w:spacing w:after="0" w:line="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results of Vive are presented separately in the condensed consolidated statements of operations, net of tax, and assets and liabilities of discontinued operations are presented separately on the condensed consolidated balance sheets. Unless otherwise noted, amounts and disclosures throughout these notes relate to the Company's continuing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Purchasing Power</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2, 2026, the Company acquired Purchasing Power for total consideration of approximately $424.2 million in cash. The acquisition has been accounted for as a business combination under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recognized the identifiable assets acquired and liabilities assumed at their preliminary estimated fair values as of the acquisition date. The excess of the purchase price over the estimated fair value of the net assets acquired has been recorded as goodwill.</w:t>
      </w:r>
    </w:p>
    <w:p>
      <w:pPr>
        <w:spacing w:after="0" w:line="5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purchase price allocation is preliminary and subject to adjustment during the measurement period, which may extend up to one year from the acquisition date. The Company continues to evaluate, among other items, the fair value of acquired receivables and intangible assets, including client relationships, broker relationships, developed technology and trade names.</w:t>
      </w:r>
    </w:p>
    <w:p>
      <w:pPr>
        <w:spacing w:after="0" w:line="54"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Purchasing Power's operations are included within the Company's continuing operations beginning January 2, 2026. Refer to Note 2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the consolidated financial statements in the 2025 Annual Report for an expanded discussion of accounting policies and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Earnings per share is computed by dividing net earnings by the weighted average number of shares of common stock outstanding during the period. The computation of diluted earnings per share includes the dilutive effect of stock options, restricted stock units ("RSUs"),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9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68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Dilutive effect of share-based awards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39,898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40,841</w:t>
            </w:r>
          </w:p>
        </w:tc>
      </w:tr>
      <w:tr>
        <w:trPr>
          <w:trHeight w:val="234"/>
        </w:trPr>
        <w:tc>
          <w:tcPr>
            <w:tcW w:w="2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912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3"/>
        </w:trPr>
        <w:tc>
          <w:tcPr>
            <w:tcW w:w="2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40,810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41,851</w:t>
            </w:r>
          </w:p>
        </w:tc>
      </w:tr>
      <w:tr>
        <w:trPr>
          <w:trHeight w:val="21"/>
        </w:trPr>
        <w:tc>
          <w:tcPr>
            <w:tcW w:w="2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-187960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360" w:right="339" w:bottom="1440" w:gutter="0" w:footer="0" w:header="0"/>
          <w:type w:val="continuous"/>
        </w:sectPr>
      </w:pPr>
    </w:p>
    <w:p>
      <w:pPr>
        <w:spacing w:after="0" w:line="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Approximately 569,000 and 316,000 weighted-average share-based awards were excluded from the computation of diluted earnings per share during the three months ended March 31, 2026 and 2025, respectively, as the awards would have been anti-dilutive for the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generates revenue from multiple sources, including leasing arrangements, contracts with customers, and financing and fee income, which are presented within revenues in the condensed consolidated statements of earnings. The Company recognizes revenue in accordance with applicable accounting guidance based on the nature of the underlying transactions, including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ASC 310, </w:t>
      </w:r>
      <w:r>
        <w:rPr>
          <w:rFonts w:ascii="Times New Roman" w:cs="Times New Roman" w:eastAsia="Times New Roman" w:hAnsi="Times New Roman"/>
          <w:sz w:val="18"/>
          <w:szCs w:val="18"/>
          <w:i w:val="1"/>
          <w:iCs w:val="1"/>
          <w:color w:val="auto"/>
        </w:rPr>
        <w:t>"Receivables."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material revenue for each reportable segment is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Progressive Leasing</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customer leasing arrangements entered into by Progressive Leasing are accounted for as operating leases under ASC 842. Lease revenue is recognized on a straight-line basis over the estimated lease term.</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Initial lease payments made by the customer at lease inception are recorded as deferred revenue and are recognized as lease revenue on a straight-line basis over the estimated lease term. All other customer lease billings are in arrears; accordingly, lease revenue is earned prior to the payment due date and is recorded net of related sales taxes as earned. Cash collected in advance of being due or earned is presented as deferred revenue within customer deposits and advance payments in the accompanying condensed consolidated balance sheets.</w:t>
      </w:r>
    </w:p>
    <w:p>
      <w:pPr>
        <w:spacing w:after="0" w:line="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Payment due date terms include weekly, bi-weekly, semi-monthly and monthly frequencies. Revenue recorded prior to the payment due date results in unbilled receivables, which are recognized in accounts receivable, net of allowances, in the accompanying condensed consolidated balance sheets. Unbilled receivables represent earned but not yet billed lease payments. Lease revenues are recorded net of a provision for uncollectible lease renewal payments.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Power</w:t>
      </w:r>
    </w:p>
    <w:p>
      <w:pPr>
        <w:spacing w:after="0" w:line="1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generated by Purchasing Power in accordance with ASC 606. Purchasing Power generates revenue through the sale of both products and services. Sales of products generally involve customers purchasing such products directly from Purchasing Power, while sales of services, including sales of product protection plans and travel-related services, are conducted through third parties. Sales of products and services are completed through retail installment arrangements with contractual repayment terms of six, twelve, or eighteen months. Although these installment contracts do not bear a stated interest rate, receivables generated from eighteen-month retail installment sales and certain other customer receivables related to services result in imputed interest revenue that is recognized over the contractual repayment term of receivables pursuant to ASC 606 or ASC 310, respectively.</w:t>
      </w:r>
    </w:p>
    <w:p>
      <w:pPr>
        <w:spacing w:after="0" w:line="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Revenue from the sale of products and services is recognized at a point in time when Purchasing Power satisfies its performance obligation. For product sales, this occurs upon the transfer of control of the product from Purchasing Power to the customer, which is generally when the product has been delivered to the customer. For sales of services, Purchasing Power is deemed to have satisfied its performance obligation when it has arranged for the underlying service with the applicable third party for the end-customer.</w:t>
      </w:r>
    </w:p>
    <w:p>
      <w:pPr>
        <w:spacing w:after="0" w:line="5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Revenue is recognized net of estimated returns and allowances based on historical experience. Actual returns within policy guidelines are recorded as a reduction to the sales returns allowance. In addition, revenue is recognized net of the related sales taxes.</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purposes of ASC 606, the Company determines whether Purchasing Power is serving as a principal or an agent with respect to the distinct performance obligation involved in delivering the product or service to the customer. Pursuant to ASC 606, when Purchasing Power is classified as a principal (primarily for product sales), revenue is presented on a gross basis and when Purchasing Power is classified as an agent (primarily for sales of services), revenue is presented on a net basis.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The Company applies the practical expedient permitted under ASC 606 for customer contracts with an original expected duration of one year or less and, accordingly, does not adjust the transaction price for contracts qualifying for this expedient. For all Purchasing Power contracts with repayment terms greater than twelve months, the Company adjusts the transaction price for the effects of imputed interest, pursuant to ASC 606, although those contracts do not charge interest. For agent transactions, receivables attributable to amounts remitted to third parties, including payments to principals, taxes, and fees, are accounted for as other receivables and presented separately on the condensed consolidated balance sheets and do not qualify for the practical expedient under ASC 606. The Company imputes interest using an annual rate of generally 20%, which approximates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rates that would be charged to customers with similar credit risk profiles in standalone financing arrangements at contract inception, pursuant to ASC 606 or ASC 835-30,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The imputed interest is recognized over the contractual term of the receivables using the effective interest method and recorded as other revenue in the condensed consolidated statements of earnings.</w:t>
      </w:r>
    </w:p>
    <w:p>
      <w:pPr>
        <w:spacing w:after="0" w:line="69" w:lineRule="exact"/>
        <w:rPr>
          <w:sz w:val="20"/>
          <w:szCs w:val="20"/>
          <w:color w:val="auto"/>
        </w:rPr>
      </w:pPr>
    </w:p>
    <w:p>
      <w:pPr>
        <w:ind w:right="1180"/>
        <w:spacing w:after="0" w:line="399" w:lineRule="auto"/>
        <w:rPr>
          <w:sz w:val="20"/>
          <w:szCs w:val="20"/>
          <w:color w:val="auto"/>
        </w:rPr>
      </w:pPr>
      <w:r>
        <w:rPr>
          <w:rFonts w:ascii="Times New Roman" w:cs="Times New Roman" w:eastAsia="Times New Roman" w:hAnsi="Times New Roman"/>
          <w:sz w:val="18"/>
          <w:szCs w:val="18"/>
          <w:color w:val="auto"/>
        </w:rPr>
        <w:t xml:space="preserve">The unearned portion of imputed interest is recorded as a reduction of the related receivables in the condensed consolidated balance sheets. </w:t>
      </w:r>
      <w:r>
        <w:rPr>
          <w:rFonts w:ascii="Times New Roman" w:cs="Times New Roman" w:eastAsia="Times New Roman" w:hAnsi="Times New Roman"/>
          <w:sz w:val="18"/>
          <w:szCs w:val="18"/>
          <w:i w:val="1"/>
          <w:iCs w:val="1"/>
          <w:color w:val="auto"/>
        </w:rPr>
        <w:t>Four and other strategic operations</w:t>
      </w: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recognizes revenue generated from merchant fees, processing fees and affiliate commissions charged in connection with its interest-free installment loans originated through Four's BNPL platform and our other strategic operations. Affiliate and other fees represent Four's primary source of revenue and are integral to the economics of the underlying consumer loans. Accordingly, these fees are recognized as an adjustment to the yield of the related receivables under ASC 310.</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the Company earns subscription revenue from certain consumer applications. Subscription revenue is accounted for in accordance with ASC 606 and represents a performance obligation to provide continuous access to services over the subscription term, which is satisfied over time.</w:t>
      </w:r>
    </w:p>
    <w:p>
      <w:pPr>
        <w:spacing w:after="0" w:line="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Note 9 to the condensed consolidated financial statements for additional information regarding the Company's revenue arrangements, including the related disaggregation of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 primarily of receivables due from customers of Progressive Leasing and trade accounts receivable of Purchasing Power.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Progressive Leasing - Accounts Receivable and Allowance</w:t>
      </w:r>
    </w:p>
    <w:p>
      <w:pPr>
        <w:spacing w:after="0" w:line="1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Progressive Leasing accounts receivable represent lease payments due from customers under lease agreements and are presented net of the accounts receivable allowance.</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policy is to record an allowance for accounts receivable based on historical collection experience. Other qualitative factors, such as current and forecasted business trends, are considered in estimating the allowance. Given the significant uncertainty regarding the impacts of inflation, elevated interest rates, unemployment rates, and tariffs on our business, a level of estimation was involved in determining the allowance. Therefore, actual future accounts receivable write-offs may differ materially from the allowance. The accounts receivable provision is recorded as a reduction of lease revenues and fees within the condensed consolidated statements of earnings. For customer lease agreements that are past due, the Company's policy is to write off lease receivables after 120 days.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Power - Acquired Receivables Portfolio</w:t>
      </w:r>
    </w:p>
    <w:p>
      <w:pPr>
        <w:spacing w:after="0" w:line="1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for the receivables portfolio acquired in the Purchasing Power acquisition in accordance with ASC 825,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The election was made to align the subsequent measurement of these receivables with their initial recognition at fair value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accounting and to provide a measurement approach that reflects current economic conditions and expected cash flows. Changes in the fair value of acquired receivables attributable to the passage of time, credit performance, discount rates, prepayments, and other valuation assumptions, are recognized as gain on change in fair value of receivables on the Company's condensed consolidated statements of earnings. As these receivables are measured at fair value, no allowance for credit losses is recorded.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Power - Receivables Originated Post-Acquisition and Allowance for Credit Losses</w:t>
      </w:r>
    </w:p>
    <w:p>
      <w:pPr>
        <w:spacing w:after="0" w:line="10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Receivables originated after the acquisition date are recorded at amortized cost and classified based on the nature of the underlying transaction. The portion of customer receivables attributable to product sales where the Company is (i) deemed a principal and (ii)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revenues where the Company is deemed an agent are classified as accounts receivable. For eighteen-month retail installment sale agreement receivables, the Company imputes interest over the contractual term in accordance with ASC 606 using an effective interest method. The resulting accretion is recognized as other revenue in the condensed consolidated statements of earnings.</w:t>
      </w:r>
    </w:p>
    <w:p>
      <w:pPr>
        <w:spacing w:after="0" w:line="6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on these receivables in accordance with ASC 326,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using a lifetime expected loss methodology. The Company has elected the practical expedient that permits an entity to assume that current conditions as of the balance sheet date do not change for the remaining life for the six- and twelve-month installment sale receivables. The practical expedient is not applicable for eighteen-month retail installment sale receivables. The lifetime expected loss allowance incorporates historical loss experience and current portfolio characteristics, and for eighteen-month retail installment sale receivables, a reasonable and supportable forecast of future economic conditions. For periods beyond which economic forecasts are considered reasonable and supportable, expected credit losses revert to historical loss experience. Receivables are charged off against the allowance for credit losses when they are deemed uncollectible, which is generally when amounts are more than 150 days past due.</w:t>
      </w:r>
    </w:p>
    <w:p>
      <w:pPr>
        <w:spacing w:after="0" w:line="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monitors the credit quality of its Purchasing Power receivables based on the characteristics of customers, clients, and the related collection mechanism. The primary credit quality indicator is whether the receivable relates to a federal government employee or a non-federal government employee. Receivables associated with federal government employees are subject to different risk characteristics, as such individuals may elect to discontinue the allotment deduction arrangements under applicable law. As a result, these receivables may exhibit greater variability in collection patterns compared to non-federal government receivables, which are generally supported by more stable payroll deduction mechanisms. The Company evaluates credit performance and loss expectations for these populations separately and incorporates these distinctions into its estimate of expected credit losses.</w:t>
      </w:r>
    </w:p>
    <w:p>
      <w:pPr>
        <w:spacing w:after="0" w:line="6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Delinquency status is evaluated at the customer contract level. Accordingly, accounts receivable and other receivables share the same aging characteristics, as they represent components of the same underlying receivable.</w:t>
      </w:r>
    </w:p>
    <w:p>
      <w:pPr>
        <w:spacing w:after="0" w:line="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Credit risk is influenced by the nature of the employer, employment stability, and regulatory factors affecting payroll deduction arrangements, including those applicable to federal government employees. The Company manages credit risk through ongoing monitoring of employers' financial health, monitoring of the customer receivable portfolio performance, and collection activities. The Company's maximum exposure to credit risk is generally represented by the gross carrying amount of its receivables.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Receivables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receivables primarily represent amounts billed by Purchasing Power to end-customers that are not associated with revenue recognized under ASC 606, including the portion of customer receivables that are service-related costs, sales taxes, and other pass-through charges. Other receivables include both balances acquired as part of the Purchasing Power acquisition and receivables originated subsequent to the acquisition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Power - Acquired Other Receivables Portfolio</w:t>
      </w:r>
    </w:p>
    <w:p>
      <w:pPr>
        <w:spacing w:after="0" w:line="10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for other receivables acquired in the Purchasing Power acquisition in accordance with ASC 825. This election aligns the subsequent measurement of these receivables with their initial recognition at fair value in purchase accounting and reflects current economic conditions and expected cash flows. Changes in fair value attributable to the passage of time, credit performance, discount rates, prepayments, and other valuation assumptions are recognized within gain on change in fair value of receivables on the Company's condensed consolidated statements of earnings. As these receivables are measured at fair value, no allowance for credit losses is recorded.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Power – Other Receivables Originated Post-Acquisition and Allowance for Credit Losses</w:t>
      </w:r>
    </w:p>
    <w:p>
      <w:pPr>
        <w:spacing w:after="0" w:line="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Other receivables originated subsequent to the acquisition date are recorded at amortized cost within the scope of ASC 310 as they represent contractual rights to receive cash that do not arise from revenue-generating activities. Because these receivables do not bear a stated market rate of interest, the Company imputes interest over the contractual term in accordance with ASC 310 and ASC 835-30, using an effective interest method. The resulting accretion is recognized as other revenue in the condensed consolidated statements of earnings.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Although these receivables arise in connection with the Company's operating activities, they are accounted for under ASC 310. Accordingly, cash flows related to the origination and collection of these receivables are classified within investing activities in the condensed consolidated statements of cash flows.</w:t>
      </w:r>
    </w:p>
    <w:p>
      <w:pPr>
        <w:spacing w:after="0" w:line="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receivables originated subsequent to the acquisition date are evaluated for expected credit losses in accordance with the Company's allowance for credit losses policy described above, except that the practical expedient relating to the assumption of current conditions does not apply to these receivables. Write-offs are recorded in accordance with the Company's policy for Purchasing Power accounts receivable discussed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Receivables recognized from contracts with customers consist of trade accounts receivable related to Purchasing Power product and service revenues and are presented net of an allowance for credit losses. These receivables represent amounts due from customers for the transfer of goods or services. Receivables classified as other receivables and receivables measured at fair value are excluded from contract balances, as they do not represent consideration for the transfer of goods or services under ASC 606.</w:t>
      </w:r>
    </w:p>
    <w:p>
      <w:pPr>
        <w:spacing w:after="0" w:line="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may also recognize contract liabilities, which consist primarily of deferred revenue related to product or service arrangements for which consideration has been received in advance of performance. Revenue recognized during the period that was included in contract liabilities at the beginning of the period was not material, and contract liabilities were not material at the end of the period.</w:t>
      </w:r>
    </w:p>
    <w:p>
      <w:pPr>
        <w:spacing w:after="0" w:line="4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applies the practical expedient for contracts with an original expected duration of one year or less and, accordingly, does not disclose remaining performance obligations for such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Shipping and handling charges billed to Purchasing Power customers are recognized within product sales and services revenue and the corresponding expense is recognized within cost of product sales in the condensed consolidated statements of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Progressive Leasing's merchandise consists primarily of furniture, appliances, electronics, mobile phones and accessories, jewelry,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including higher fuel costs, tariffs, elevated interest rates, and unemployment rates on our business, a high level of estimation was involved in determining the allowance as of March 31, 2026. Actual lease merchandise write-offs may differ materially from the allowance as of March 31, 2026. For customer lease agreements that are past due, the Company's policy is to write off lease merchandise after 120 days.</w:t>
      </w:r>
    </w:p>
    <w:p>
      <w:pPr>
        <w:spacing w:after="0" w:line="6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allowance for lease merchandise write-offs, which is included within lease merchandise, net in the condensed consolidated balance sheets: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47,000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51,874</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merchandise written off</w:t>
            </w:r>
          </w:p>
        </w:tc>
        <w:tc>
          <w:tcPr>
            <w:tcW w:w="3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(42,090)</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(46,645)</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3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1,815</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write-offs</w:t>
            </w:r>
          </w:p>
        </w:tc>
        <w:tc>
          <w:tcPr>
            <w:tcW w:w="34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43,651</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48,018</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50,376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4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Incentives and Rebates Provided to POS Partners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$8.3 million and $9.1 million for such additional consideration to POS partners during the three months ended March 31, 2026 and 2025, respectively. Expenses related to additional consideration provided to POS partners are classified within operating expenses in the condensed consolidated statements of earnings.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instruments purchased with a maturity of three months or less to be cash equivalents.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Restricted cash consists of amounts held in segregated accounts in connection with the Company's financing and securitization arrangements, primarily related to the Purchasing Power business. These amounts are subject to contractual restrictions under the related financing agreements and are not available for general corporate purposes. Restricted cash primarily includes collections on receivables and reserve balances that are required to be maintained to support the related funding structures and satisfy contractual obligations.</w:t>
      </w:r>
    </w:p>
    <w:p>
      <w:pPr>
        <w:spacing w:after="0" w:line="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amount shown in the condensed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69,386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10,116</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per statement of cash flows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79,502</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 Net</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loans receivable primarily represents amounts due to our Four segment. The allowance and unamortized fees represent estimated uncollectible amounts and unamortized affiliate merchant fee discounts. Loans receivable, net, includes $65.5 million and $84.4 million of outstanding receivables from customers of Four as of March 31, 2026 and December 31, 2025, respectively, with the remainder relating to our other strategic operations.</w:t>
      </w:r>
    </w:p>
    <w:p>
      <w:pPr>
        <w:spacing w:after="0" w:line="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results in recognition of credit losses and requires the Company to make its best estimate of lifetime losses at the time of acquisition. Four segments its loans receivable by delinquency status and evaluates loans receivable collectively for impairment when similar risk characteristics exist.</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calculates the Four allowance for loan losses based on internal historical loss information. ASC 326 requires the consideration of reasonable and supportable forecasts of future economic conditions in determining allowances for loan losses. In determining the potential adjustments to the allowance for macroeconomic conditions and forecasted economic data, Four management considers significant current economic trends, market factors, and quarterly forecasts. However, management has concluded that, based on the approximate six-week life of each loan, future macroeconomic conditions and forecasted economic data do not generally have a significant effect on the estimate of the allowance for credit losses on such short-term loans. The Company may also consider other qualitative factors in estimating the allowance, as necessary.</w:t>
      </w:r>
    </w:p>
    <w:p>
      <w:pPr>
        <w:spacing w:after="0" w:line="66"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maintained at a level considered appropriate to cover expected lifetime losses of principal and fees on active loans in the loans receivable portfolio, and the appropriateness of the allowance is evaluated at each period end. Four's delinquent loans receivable are those that are past due based on their contractual billing dates. Loans receivable are charged off at the end of the month after the loans receivable become 90 days past due.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Four extends or declines credit on an individual transaction basis using its proprietary decisioning platform, without using customer credit ratings. Four instead uses an internal model based on factors such as banking data and user history to generate internal proprietary risk scores. Four assigns an internal risk score of either A, B or C, with an A rating representing the highest credit quality.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lease merchandise</w:t>
            </w:r>
          </w:p>
        </w:tc>
        <w:tc>
          <w:tcPr>
            <w:tcW w:w="22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11,326</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expenses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15,106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initial direct costs on lease agreement originations</w:t>
            </w:r>
          </w:p>
        </w:tc>
        <w:tc>
          <w:tcPr>
            <w:tcW w:w="22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6,286</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4,716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10,062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86,649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73,383</w:t>
            </w: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w:t>
      </w:r>
    </w:p>
    <w:p>
      <w:pPr>
        <w:spacing w:after="0" w:line="17" w:lineRule="exact"/>
        <w:rPr>
          <w:sz w:val="20"/>
          <w:szCs w:val="20"/>
          <w:color w:val="auto"/>
        </w:rPr>
      </w:pPr>
    </w:p>
    <w:p>
      <w:pPr>
        <w:ind w:right="200"/>
        <w:spacing w:after="0" w:line="231" w:lineRule="exact"/>
        <w:rPr>
          <w:sz w:val="20"/>
          <w:szCs w:val="20"/>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and lease liabilities related to operating leases are included in prepaid expenses and other assets and other liabilities on the condensed consolidated balance sheets. Lease balances were not material for the periods presented. Inventories relate to Purchasing Power and consist of customer-directed goods in transit for which Purchasing Power assumes ownership during the shipment process and to a lesser extent, returned merchandise. Inventories are stated at the lower of cost or net realizable value.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25,627</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personal property taxes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15,024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rebates</w:t>
            </w:r>
          </w:p>
        </w:tc>
        <w:tc>
          <w:tcPr>
            <w:tcW w:w="22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6,242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42,253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136,967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96,471</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debt consists of corporate borrowings and asset-backed financing arrangements. Debt is recorded at amortized cost, net of unamortized debt issuance costs and original issue discounts, if any. Debt issuance costs are presented as a direct reduction of the related debt liability, except for costs associated with revolving credit facilities, which are recorded within other assets. These costs are amortized to interest expense over the contractual term of the related arrangements using the effective interest method.</w:t>
      </w:r>
    </w:p>
    <w:p>
      <w:pPr>
        <w:spacing w:after="0" w:line="4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Certain of the Company's financing arrangements are secured by receivables and related cash flows and are accounted for as secured borrowings, as the underlying assets remain on the Company's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Variable-rate debt instruments bear interest based on market indices, including SOFR, plus an applicable margin. As a result, the carrying value of such instruments generally approximates fair value.</w:t>
      </w:r>
    </w:p>
    <w:p>
      <w:pPr>
        <w:spacing w:after="0" w:line="2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Debt may be modified or extinguished from time to time. Modifications are evaluated in accordance with applicable accounting guidance to determine whether they should be accounted for as a continuation of the existing arrangement or as an extinguishment. Gains and losses on extinguishment, when incurred, are recognized in earnings. See Note 7 below and Note 8 to the consolidated financial statements in the 2025 Annual Report for further information regarding the Company's indebtedness.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 Securitizations and Credit Facilities</w:t>
      </w:r>
    </w:p>
    <w:p>
      <w:pPr>
        <w:spacing w:after="0" w:line="108"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Purchasing Power finances a portion of its receivable origination activities through a warehouse credit facility and a securitization transaction, which utilize special purpose entities ("SPEs"), including bankruptcy-remote limited liability companies ("LLCs") formed for financing and securitization purposes.</w:t>
      </w:r>
    </w:p>
    <w:p>
      <w:pPr>
        <w:spacing w:after="0" w:line="18"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Under its warehouse credit facility, Purchasing Power's receivables are transferred to the related bankruptcy-remote SPEs from the originating entity, and the SPEs issue notes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lenders secured by the underlying receivables and related cash flows. Funding is provided to the SPEs pursuant to contractual advance rates, and the SPEs remit proceeds to Purchasing Power to acquire receivables and finance originations. Borrowings under this facility are generally revolving in nature and are repaid using collections on the underlying receivables or through take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financing in connection with new securitization transactions.</w:t>
      </w:r>
    </w:p>
    <w:p>
      <w:pPr>
        <w:spacing w:after="0" w:line="25" w:lineRule="exact"/>
        <w:rPr>
          <w:sz w:val="20"/>
          <w:szCs w:val="20"/>
          <w:color w:val="auto"/>
        </w:rPr>
      </w:pPr>
    </w:p>
    <w:p>
      <w:pPr>
        <w:jc w:val="both"/>
        <w:ind w:right="280"/>
        <w:spacing w:after="0" w:line="231" w:lineRule="exact"/>
        <w:rPr>
          <w:sz w:val="20"/>
          <w:szCs w:val="20"/>
          <w:color w:val="auto"/>
        </w:rPr>
      </w:pPr>
      <w:r>
        <w:rPr>
          <w:rFonts w:ascii="Times New Roman" w:cs="Times New Roman" w:eastAsia="Times New Roman" w:hAnsi="Times New Roman"/>
          <w:sz w:val="18"/>
          <w:szCs w:val="18"/>
          <w:color w:val="auto"/>
        </w:rPr>
        <w:t>In a securitization transaction, Purchasing Power transfers receivables to the related bankruptcy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remote SPE that issues multiple classes of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notes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noteholders. Proceeds from these issuances are used to acquire receivables and finance originations and/or repay existing financing arrangements. The securitization structures include customary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enhancement features, including over-collateralization, priority of payments (cash flow waterfalls), and reserve accounts.</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determined that the SPEs used in Purchasing Power's warehouse credit facility and its securitization are variable interest entities ("VIEs")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equity investment in these entities is not sufficient to permit the entities to finance their activities without additional subordinated financial support, and the activities that most significantly impact their economic performance are directed through contractual arrangements rather than through equity voting rights. The Company has concluded that Purchasing Power is the primary beneficiary of these VIEs because it has both:</w:t>
      </w:r>
    </w:p>
    <w:p>
      <w:pPr>
        <w:spacing w:after="0" w:line="62" w:lineRule="exact"/>
        <w:rPr>
          <w:sz w:val="20"/>
          <w:szCs w:val="20"/>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 the Company has the power to direct the activities that most significantly impact the economic performance of the VIEs through its role as sole member of the SPEs, which provides unilateral authority over their operations, and through its role as servicer of the underlying receivables; and</w:t>
      </w:r>
    </w:p>
    <w:p>
      <w:pPr>
        <w:spacing w:after="0" w:line="40"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Economics — the Company has the obligation to absorb losses and the right to receive benefits that could potentially be significant through its retained residual interests, including subordinated note positions, exposure to overcollateralization requirements, and rights to excess cash flows after payment of noteholder obligations.</w:t>
      </w:r>
    </w:p>
    <w:p>
      <w:pPr>
        <w:spacing w:after="0" w:line="54" w:lineRule="exact"/>
        <w:rPr>
          <w:sz w:val="20"/>
          <w:szCs w:val="20"/>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Accordingly, the VIEs are consolidated in the Company's condensed consolidated financial statements, and the related receivables, warehouse facility borrowings,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notes issued in the securitization transaction are included in the condensed consolidated balance sheets.</w:t>
      </w:r>
    </w:p>
    <w:p>
      <w:pPr>
        <w:spacing w:after="0" w:line="4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is not contractually required and does not currently intend to provide additional financial support to these VIEs beyond its existing contractual obligations. Although these VIEs are consolidated, they are separate legal entities, and as of March 31, 2026, certain of their assets and liabilities are included in the Company's condensed consolidated balance sheets, including receivables with a total contractual balance of approximately $375.1 million, which are included within receivables and other receivables, restricted cash of $9.3 million, and indebtedness of approximately $293.7 million. The assets of the VIEs, including receivables and restricted cash, are subject to contractual restrictions and may only be used to settle obligations of the respective VIEs. The creditors of the VIEs do not have recourse to the assets or general credit of the Company or its other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identifiable net tangible and intangible assets acquired in connection with business acquisitions. Progressive Leasing, Purchasing Power and Four have goodwill as of March 31,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is not amortized but is tested for impairment at the reporting unit level annually as of October 1 and more frequently if events or circumstances indicate that the carrying value of a reporting unit may exceed its fair value. Factors which could necessitate an interim impairment assessment include, but are not limited to, a sustained decline in the Company's stock price, adverse industry or economic conditions, significant underperformance relative to historical or projected future operating results, or changes in the Company's strategic plans.</w:t>
      </w:r>
    </w:p>
    <w:p>
      <w:pPr>
        <w:spacing w:after="0" w:line="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determined that there were no events or circumstances that occurred during the three months ended March 31, 2026 that would more likely than not reduce the fair value of Progressive Leasing, Purchasing Power or Four below their carrying amounts.</w:t>
      </w:r>
    </w:p>
    <w:p>
      <w:pPr>
        <w:spacing w:after="0" w:line="4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Intangible assets consist primarily of client and retail partner relationships, trade names, broker relationships, and developed technology acquired in business combinations. Intangible assets with finite useful lives are amortized on a straight-line basis over their estimated useful lives, which reflects the pattern in which the economic benefits of the assets are expected to be consumed. Intangible assets are reviewed for impairment whenever events or changes in circumstances indicate that their carrying amounts may not be recoverable. Recoverability is assessed by comparing the carrying value of the asset to the estimated undiscounted future cash flows expected to result from the use and eventual disposition of the asset. If the carrying amount exceeds those cash flows, an impairment loss is recognized based on the excess of carrying value over fair value.</w:t>
      </w:r>
    </w:p>
    <w:p>
      <w:pPr>
        <w:spacing w:after="0" w:line="6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Indefinite-lived intangible assets, which consist of certain trademarks and trade names, are not amortized and are tested for impairment annually or more frequently if indicators of impairment exist.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indefinite-lived intangible assets at March 31, 2026 and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8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Progressive Leasing</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288,801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Purchasing Power</w:t>
            </w:r>
          </w:p>
        </w:tc>
        <w:tc>
          <w:tcPr>
            <w:tcW w:w="22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110,653</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7,260</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406,714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296,061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459,714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definite-lived intangible assets at March 31, 2026 and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4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8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1"/>
                <w:szCs w:val="11"/>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0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9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258,000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partner and broker relationships</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205,587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(181,642)</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23,945</w:t>
            </w:r>
          </w:p>
        </w:tc>
        <w:tc>
          <w:tcPr>
            <w:tcW w:w="30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181,586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(177,271)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29,587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Internally developed technology</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92,000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84,000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585,174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(273,212)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311,962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266,173</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506,400 restricted stock units and 246,703 performance share units to certain employees. The restricted stock units vest over one to three-year periods. The performance share units, for which various business, strategic and compliance goals are the performance metrics, also vest over one- to three-year periods, if they are earned at the end of their one-year performance period. The weighted average fair value of the restricted stock and performance share awards was $36.66, which was based on the fair market value of the Company's common stock on the dates of grant. The Company also issued 124,429 performance share units which may be earned after a three-year vesting period by achieving specified levels of total shareholder return ("TSR") of the Company's common stock relative to the TSR of the S&amp;P 600 Small Cap Index. The fair value of the TSR performance share units was $59.12, which was based on a grant date value using a Monte Carlo simulation model. The Company will recognize the grant date fair value of the restricted stock units and TSR performance share units as stock-based compensation expense over the requisite service period determined in accordance with the terms of the grant agreement.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shareholders' equity for the three months ended March 31, 2026 and 2025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3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3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118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3"/>
                <w:szCs w:val="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3"/>
                <w:szCs w:val="3"/>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(42,503)</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(1,252,890)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363,583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1,594,685</w:t>
            </w:r>
          </w:p>
        </w:tc>
        <w:tc>
          <w:tcPr>
            <w:tcW w:w="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746,417</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$0.14 per share</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(5,860)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7,651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12,841</w:t>
            </w:r>
          </w:p>
        </w:tc>
        <w:tc>
          <w:tcPr>
            <w:tcW w:w="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(22,748)</w:t>
            </w:r>
          </w:p>
        </w:tc>
        <w:tc>
          <w:tcPr>
            <w:tcW w:w="2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36,054</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36,054</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(42,015)</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(1,240,049)</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348,486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1,624,879</w:t>
            </w:r>
          </w:p>
        </w:tc>
        <w:tc>
          <w:tcPr>
            <w:tcW w:w="3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774,355</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0"/>
        </w:trPr>
        <w:tc>
          <w:tcPr>
            <w:tcW w:w="2500" w:type="dxa"/>
            <w:vAlign w:val="bottom"/>
          </w:tcPr>
          <w:p>
            <w:pPr>
              <w:spacing w:after="0"/>
              <w:rPr>
                <w:sz w:val="24"/>
                <w:szCs w:val="24"/>
                <w:color w:val="auto"/>
              </w:rPr>
            </w:pPr>
          </w:p>
        </w:tc>
        <w:tc>
          <w:tcPr>
            <w:tcW w:w="23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3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118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2"/>
                <w:szCs w:val="2"/>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2"/>
                <w:szCs w:val="2"/>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(41,263)</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(1,218,746)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358,538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1,469,450</w:t>
            </w:r>
          </w:p>
        </w:tc>
        <w:tc>
          <w:tcPr>
            <w:tcW w:w="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650,281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$0.13 per share</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(5,465)</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7,806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14,338</w:t>
            </w:r>
          </w:p>
        </w:tc>
        <w:tc>
          <w:tcPr>
            <w:tcW w:w="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(21,062)</w:t>
            </w:r>
          </w:p>
        </w:tc>
        <w:tc>
          <w:tcPr>
            <w:tcW w:w="2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34,718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34,718</w:t>
            </w:r>
          </w:p>
        </w:tc>
        <w:tc>
          <w:tcPr>
            <w:tcW w:w="0" w:type="dxa"/>
            <w:vAlign w:val="bottom"/>
          </w:tcPr>
          <w:p>
            <w:pPr>
              <w:spacing w:after="0"/>
              <w:rPr>
                <w:sz w:val="1"/>
                <w:szCs w:val="1"/>
                <w:color w:val="auto"/>
              </w:rPr>
            </w:pPr>
          </w:p>
        </w:tc>
      </w:tr>
      <w:tr>
        <w:trPr>
          <w:trHeight w:val="23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(41,725)</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(1,230,576)</w:t>
            </w: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345,282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1,498,703</w:t>
            </w:r>
          </w:p>
        </w:tc>
        <w:tc>
          <w:tcPr>
            <w:tcW w:w="3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654,448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Level 1—Valuations based on quoted prices for identical assets and liabilities in active markets.</w:t>
      </w:r>
    </w:p>
    <w:p>
      <w:pPr>
        <w:spacing w:after="0" w:line="104" w:lineRule="exact"/>
        <w:rPr>
          <w:sz w:val="20"/>
          <w:szCs w:val="20"/>
          <w:color w:val="auto"/>
        </w:rPr>
      </w:pPr>
    </w:p>
    <w:p>
      <w:pPr>
        <w:ind w:left="900" w:right="340"/>
        <w:spacing w:after="0" w:line="266" w:lineRule="auto"/>
        <w:rPr>
          <w:sz w:val="20"/>
          <w:szCs w:val="20"/>
          <w:color w:val="auto"/>
        </w:rPr>
      </w:pPr>
      <w:r>
        <w:rPr>
          <w:rFonts w:ascii="Times New Roman" w:cs="Times New Roman" w:eastAsia="Times New Roman" w:hAnsi="Times New Roman"/>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4" w:lineRule="exact"/>
        <w:rPr>
          <w:sz w:val="20"/>
          <w:szCs w:val="20"/>
          <w:color w:val="auto"/>
        </w:rPr>
      </w:pPr>
    </w:p>
    <w:p>
      <w:pPr>
        <w:ind w:left="900" w:right="840"/>
        <w:spacing w:after="0" w:line="282" w:lineRule="auto"/>
        <w:rPr>
          <w:sz w:val="20"/>
          <w:szCs w:val="20"/>
          <w:color w:val="auto"/>
        </w:rPr>
      </w:pPr>
      <w:r>
        <w:rPr>
          <w:rFonts w:ascii="Times New Roman" w:cs="Times New Roman" w:eastAsia="Times New Roman" w:hAnsi="Times New Roman"/>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2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Receivables associated with the Purchasing Power acquired portfolio are measured at fair value on a recurring basis pursuant to the Company's election of the fair value option under ASC 825. The Company maintains certain financial assets and liabilities that are not measured at fair value but for which fair value is disclosed.</w:t>
      </w:r>
    </w:p>
    <w:p>
      <w:pPr>
        <w:spacing w:after="0" w:line="5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other current financial assets and liabilities, including cash and cash equivalents, certain receivables and accounts payable, approximate their carrying values due to their short-term nature. See Note 6 for more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amended guidance will improve the transparency of income tax disclosures by requiring specific categories in the effective tax rate reconciliation and the disclosure of income taxes paid disaggregated by jurisdiction, along with other disclosure requirements. It is effective for fiscal years beginning after December 15, 2024, and can be applied on a prospective or retrospective basis. Early adoption is permitted. The Company adopted this pronouncement for the year ended December 31, 2025 on a retrospective basis. See Note 9 to the consolidated financial statements in the Company's Form 10-K for the year ended December 31, 2025 for additional information. There was no impact on our financial position or results of operations.</w:t>
      </w:r>
    </w:p>
    <w:p>
      <w:pPr>
        <w:spacing w:after="0" w:line="4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which provides a practical expedient related to the estimation of expected credit losses for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that arise from transactions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practical expedient permits an entity to assume that current conditions as of the balance sheet date do not change for the remaining life of the current accounts receivable and current contract assets. ASU 2025-05 is effective for annual and interim periods beginning after December 15, 2025 on a prospective basis, with early adoption permitted. The Company adopted this guidance on January 1, 2026 on a prospective basis. The practical expedient is primarily applicable to Purchasing Power's six- and twelve-month retail installment agreements classified as accounts receivable. There was no material impact on our financial position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more detailed disclosures of certain categories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such as employee compensation, depreciation, and intangible asset amortization that are components of existing expense captions presented on the face of the income statement. ASU 2024-03 is effective for annual reporting periods beginning after December 15, 2026, and interim reporting periods beginning after December 15, 2027. Early adoption is permitted. The Company is currently evaluating the effect that this standard will have on its financial statement disclosures.</w:t>
      </w:r>
    </w:p>
    <w:p>
      <w:pPr>
        <w:spacing w:after="0" w:line="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w:t>
      </w:r>
      <w:r>
        <w:rPr>
          <w:rFonts w:ascii="Times New Roman" w:cs="Times New Roman" w:eastAsia="Times New Roman" w:hAnsi="Times New Roman"/>
          <w:sz w:val="18"/>
          <w:szCs w:val="18"/>
          <w:i w:val="1"/>
          <w:iCs w:val="1"/>
          <w:color w:val="auto"/>
        </w:rPr>
        <w:t>"Intangibles - Goodwill and Other - Internal 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ASU 2025-06 updates the accounting for internal-use software by replacing former stage-based rules with a principles-based framework. Entities will now capitalize costs associated with internal-use software only when management has authorized and committed funding and it is probable that the project will be completed and the software will be used to perform the intended function. ASU 2025-06 also supersedes website development cost guidance, moving it to ASC 350-40. These amendments are effective for interim and annual periods beginning after December 15, 2027, with early adoption permitted. The Company is currently evaluating the impact of this standard on its consolidated financial statements and related disclosures.</w:t>
      </w:r>
    </w:p>
    <w:p>
      <w:pPr>
        <w:spacing w:after="0" w:line="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had a material impact on the entity. ASU 2025-11 is effective for fiscal years beginning after December 15, 2027, including interim periods within those fiscal years, with early adoption permitted. The Company is currently evaluating the impact of adopting ASU 2025-11.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Overview</w:t>
      </w:r>
    </w:p>
    <w:p>
      <w:pPr>
        <w:spacing w:after="0" w:line="94" w:lineRule="exact"/>
        <w:rPr>
          <w:sz w:val="20"/>
          <w:szCs w:val="20"/>
          <w:color w:val="auto"/>
        </w:rPr>
      </w:pPr>
    </w:p>
    <w:p>
      <w:pPr>
        <w:ind w:right="360"/>
        <w:spacing w:after="0" w:line="227" w:lineRule="exact"/>
        <w:rPr>
          <w:sz w:val="20"/>
          <w:szCs w:val="20"/>
          <w:color w:val="auto"/>
        </w:rPr>
      </w:pPr>
      <w:r>
        <w:rPr>
          <w:rFonts w:ascii="Times New Roman" w:cs="Times New Roman" w:eastAsia="Times New Roman" w:hAnsi="Times New Roman"/>
          <w:sz w:val="18"/>
          <w:szCs w:val="18"/>
          <w:color w:val="auto"/>
        </w:rPr>
        <w:t>On January 2, 2026 (the "Acquisition Date"), PROG Beach, LLC ("PROG Beach"), a wholly owned subsidiary of the Company, acquired 100% of the issued and outstanding equity interests of Purchasing Power from Purchasing Power Parent, LLC (the "Seller") pursuant to a Unit Purchase Agreement dated December 1, 2025. Purchasing Power is a voluntary employee benefit program provider that allows employees of participating organizations to purchase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name products and services through payroll deduction or allotment arrangements.</w:t>
      </w:r>
    </w:p>
    <w:p>
      <w:pPr>
        <w:spacing w:after="0" w:line="4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The transaction has been accounted for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Purchasing Power's results of operations have been included in the Company's condensed consolidated financial statements from the Acquisition Date.</w:t>
      </w:r>
    </w:p>
    <w:p>
      <w:pPr>
        <w:spacing w:after="0" w:line="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Management expects the acquisition to meaningfully expand the Company's platform by broadening consumers' access to flexible, inclusive and convenient payment options across high-demand categories and to strengthen the Company's partner ecosystem through Purchasing Power's more than 360 employer partnerships and benefit-broker distribution channel.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Transferred</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total consideration transferred for purposes of ASC 805 was $424.2 million. The consideration was paid entirely in cash and consisted of the following components: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Seller</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216,220</w:t>
            </w:r>
          </w:p>
        </w:tc>
      </w:tr>
      <w:tr>
        <w:trPr>
          <w:trHeight w:val="230"/>
        </w:trPr>
        <w:tc>
          <w:tcPr>
            <w:tcW w:w="9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Indebtedness of the Seller settled in cash by the Company at closing</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199,283</w:t>
            </w: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of the Seller paid by the Company at closing</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placed in escrow for general representations and warranties</w:t>
            </w:r>
          </w:p>
        </w:tc>
        <w:tc>
          <w:tcPr>
            <w:tcW w:w="4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8"/>
        </w:trPr>
        <w:tc>
          <w:tcPr>
            <w:tcW w:w="91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consideration transferred</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424,227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consideration transferred comprises a $420 million negotiated purchase price plus $4.2 million of asset-backed indebtedness of the Seller that was repaid by the Company at closing.</w:t>
      </w:r>
    </w:p>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consideration transferred did not include any contingent consideration. The escrow arrangement relates only to general representations and warranties that were valid as of the Acquisition Date and, accordingly, was included in consideration transferred rather than accounted for as contingent consideration, as the amounts are not contingent on future events.</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incurred $9.7 million of acquisition-related costs during the three months ended March 31, 2026, which were recorded within operating expenses in the condensed consolidated statements of earnings, and are not included in consideration transferred. The Company incurred approximately $2.2 million of acquisition-related costs in the year ended December 31, 2025 related to this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values of acquired assets and assumed liabilities were determined using valuation techniques that require significant management judgment, including the use of unobservable inputs. The valuation methodologies applied were consistent with those that a market participant would use in measuring fair value.</w:t>
      </w:r>
    </w:p>
    <w:p>
      <w:pPr>
        <w:spacing w:after="0" w:line="41" w:lineRule="exact"/>
        <w:rPr>
          <w:sz w:val="20"/>
          <w:szCs w:val="20"/>
          <w:color w:val="auto"/>
        </w:rPr>
      </w:pPr>
    </w:p>
    <w:p>
      <w:pPr>
        <w:ind w:right="360"/>
        <w:spacing w:after="0" w:line="222" w:lineRule="exact"/>
        <w:rPr>
          <w:sz w:val="20"/>
          <w:szCs w:val="20"/>
          <w:color w:val="auto"/>
        </w:rPr>
      </w:pPr>
      <w:r>
        <w:rPr>
          <w:rFonts w:ascii="Times New Roman" w:cs="Times New Roman" w:eastAsia="Times New Roman" w:hAnsi="Times New Roman"/>
          <w:sz w:val="18"/>
          <w:szCs w:val="18"/>
          <w:color w:val="auto"/>
        </w:rPr>
        <w:t>Receivables were measured at fair value using discounted cash flow methodologies that considered expected cash collections, default assumptions, prepayment behavior, and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discount rates. The gross contractual amounts receivable and the expected credit losses are reflected in the fair value measurement; accordingly, no allowance for credit losses was recorded at acquisition.</w:t>
      </w:r>
    </w:p>
    <w:p>
      <w:pPr>
        <w:spacing w:after="0" w:line="78" w:lineRule="exact"/>
        <w:rPr>
          <w:sz w:val="20"/>
          <w:szCs w:val="20"/>
          <w:color w:val="auto"/>
        </w:rPr>
      </w:pPr>
    </w:p>
    <w:p>
      <w:pPr>
        <w:ind w:right="260"/>
        <w:spacing w:after="0" w:line="220" w:lineRule="exact"/>
        <w:rPr>
          <w:sz w:val="20"/>
          <w:szCs w:val="20"/>
          <w:color w:val="auto"/>
        </w:rPr>
      </w:pPr>
      <w:r>
        <w:rPr>
          <w:rFonts w:ascii="Times New Roman" w:cs="Times New Roman" w:eastAsia="Times New Roman" w:hAnsi="Times New Roman"/>
          <w:sz w:val="18"/>
          <w:szCs w:val="18"/>
          <w:color w:val="auto"/>
        </w:rPr>
        <w:t>Identifiable intangible assets, including customer relationships, broker network relationships, trade names, and developed technology, were valued using income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approaches. Customer relationships and broker network intangibles were valued using the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excess earnings method, using attrition rates based on historical experience. Trade names were valued using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using royalty rates based on market participant assumptions. Developed technology was valued using the replacement cost method.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fair value measurements are classified as Level 3 measurements within the fair value hierarchy.</w:t>
      </w:r>
    </w:p>
    <w:p>
      <w:pPr>
        <w:spacing w:after="0" w:line="9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has completed a preliminary allocation of the purchase price to the identifiable assets acquired and liabilities assumed based on their estimated fair values as of the Acquisition Date. The valuation of certain assets and liabilities, including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accounts receivable, identifiable intangible assets, and certain accrued liabilities, is preliminary. Accordingly, the purchase price allocation is subject to adjustment during the measurement period (not to exceed one year from the Acquisition Date) as additional information becomes available and such changes may result in adjustments to goodwill.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Purchase Consideration</w:t>
      </w:r>
    </w:p>
    <w:p>
      <w:pPr>
        <w:spacing w:after="0" w:line="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consideration to the estimated fair values of the assets acquired and liabilities assumed as of January 2, 2026: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Amounts recognized as of</w:t>
            </w:r>
          </w:p>
        </w:tc>
        <w:tc>
          <w:tcPr>
            <w:tcW w:w="0" w:type="dxa"/>
            <w:vAlign w:val="bottom"/>
          </w:tcPr>
          <w:p>
            <w:pPr>
              <w:spacing w:after="0"/>
              <w:rPr>
                <w:sz w:val="1"/>
                <w:szCs w:val="1"/>
                <w:color w:val="auto"/>
              </w:rPr>
            </w:pPr>
          </w:p>
        </w:tc>
      </w:tr>
      <w:tr>
        <w:trPr>
          <w:trHeight w:val="148"/>
        </w:trPr>
        <w:tc>
          <w:tcPr>
            <w:tcW w:w="9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 date (January 2,</w:t>
            </w:r>
          </w:p>
        </w:tc>
        <w:tc>
          <w:tcPr>
            <w:tcW w:w="0" w:type="dxa"/>
            <w:vAlign w:val="bottom"/>
          </w:tcPr>
          <w:p>
            <w:pPr>
              <w:spacing w:after="0"/>
              <w:rPr>
                <w:sz w:val="1"/>
                <w:szCs w:val="1"/>
                <w:color w:val="auto"/>
              </w:rPr>
            </w:pPr>
          </w:p>
        </w:tc>
      </w:tr>
      <w:tr>
        <w:trPr>
          <w:trHeight w:val="195"/>
        </w:trPr>
        <w:tc>
          <w:tcPr>
            <w:tcW w:w="9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8"/>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424,227</w:t>
            </w:r>
          </w:p>
        </w:tc>
        <w:tc>
          <w:tcPr>
            <w:tcW w:w="0" w:type="dxa"/>
            <w:vAlign w:val="bottom"/>
          </w:tcPr>
          <w:p>
            <w:pPr>
              <w:spacing w:after="0"/>
              <w:rPr>
                <w:sz w:val="1"/>
                <w:szCs w:val="1"/>
                <w:color w:val="auto"/>
              </w:rPr>
            </w:pP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identifiable assets acquired and liabilities assumed</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355,993</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receivables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35,143</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319,000</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0" w:type="dxa"/>
            <w:vAlign w:val="bottom"/>
          </w:tcPr>
          <w:p>
            <w:pPr>
              <w:spacing w:after="0"/>
              <w:rPr>
                <w:sz w:val="1"/>
                <w:szCs w:val="1"/>
                <w:color w:val="auto"/>
              </w:rPr>
            </w:pPr>
          </w:p>
        </w:tc>
      </w:tr>
      <w:tr>
        <w:trPr>
          <w:trHeight w:val="223"/>
        </w:trPr>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759,363</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(85,213)</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Non-recourse funding debt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(338,608)</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0" w:type="dxa"/>
            <w:vAlign w:val="bottom"/>
          </w:tcPr>
          <w:p>
            <w:pPr>
              <w:spacing w:after="0"/>
              <w:rPr>
                <w:sz w:val="1"/>
                <w:szCs w:val="1"/>
                <w:color w:val="auto"/>
              </w:rPr>
            </w:pPr>
          </w:p>
        </w:tc>
      </w:tr>
      <w:tr>
        <w:trPr>
          <w:trHeight w:val="229"/>
        </w:trPr>
        <w:tc>
          <w:tcPr>
            <w:tcW w:w="9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23"/>
        </w:trPr>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(445,789)</w:t>
            </w:r>
          </w:p>
        </w:tc>
        <w:tc>
          <w:tcPr>
            <w:tcW w:w="0" w:type="dxa"/>
            <w:vAlign w:val="bottom"/>
          </w:tcPr>
          <w:p>
            <w:pPr>
              <w:spacing w:after="0"/>
              <w:rPr>
                <w:sz w:val="1"/>
                <w:szCs w:val="1"/>
                <w:color w:val="auto"/>
              </w:rPr>
            </w:pPr>
          </w:p>
        </w:tc>
      </w:tr>
      <w:tr>
        <w:trPr>
          <w:trHeight w:val="223"/>
        </w:trPr>
        <w:tc>
          <w:tcPr>
            <w:tcW w:w="9380" w:type="dxa"/>
            <w:vAlign w:val="bottom"/>
            <w:tcBorders>
              <w:bottom w:val="single" w:sz="8" w:color="CCEEFF"/>
            </w:tcBorders>
          </w:tcPr>
          <w:p>
            <w:pPr>
              <w:ind w:left="140"/>
              <w:spacing w:after="0" w:line="223"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424,227</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80" w:right="120" w:hanging="72"/>
        <w:spacing w:after="0" w:line="230" w:lineRule="auto"/>
        <w:tabs>
          <w:tab w:leader="none" w:pos="82"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gross contractual unpaid principal balance of acquired installment accounts receivable and other receivables, which are $324.0 million and $35.1 million, respectively, was $426.3 million, and the Company expects to collect $370.7 million. Accounts receivable also includes $32.0 million of client receivables, which the Company expects will be fully paid.</w:t>
      </w:r>
    </w:p>
    <w:p>
      <w:pPr>
        <w:spacing w:after="0" w:line="11"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excess of the purchase consideration over the estimated fair value of the net identifiable assets acquired has been recorded as goodwill.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primarily reflects the expected synergies from combining Purchasing Power's payroll-deduction purchasing platform, employer and broker relationships, and proprietary technology with the Company's existing consumer payment solutions. These synergies include anticipated revenue enhancements from cross-selling the Company's lease-to-own and payment solutions to Purchasing Power's existing employer-sponsored customer base, as well as the ability to offer Purchasing Power's payroll-deduction purchasing capabilities to the Company's existing retail and e-commerce partner network.</w:t>
      </w:r>
    </w:p>
    <w:p>
      <w:pPr>
        <w:spacing w:after="0" w:line="5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addition, the Company expects to realize operational efficiencies and cost savings through the integration of technology platforms, consolidation of certain corporate and administrative functions, and optimization of funding and servicing operations. Goodwill also reflects the value of the assembled workforce and other intangible benefits that do not qualify for separate recognition under ASC 805. All goodwill recognized has been assigned to the Purchasing Power reporting unit. The goodwill is partially deductible for income tax purposes based on the structure of the acquisition. Approximately $77.9 million of the goodwill is expected to be deductible and amortizable for tax purposes, with the remainder not expected to be deductible.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attributable to the acquisition are comprised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9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Weighted average life</w:t>
            </w:r>
          </w:p>
        </w:tc>
      </w:tr>
      <w:tr>
        <w:trPr>
          <w:trHeight w:val="196"/>
        </w:trPr>
        <w:tc>
          <w:tcPr>
            <w:tcW w:w="7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75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acquired intangible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319,000</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ind w:left="80" w:hanging="72"/>
        <w:spacing w:after="0"/>
        <w:tabs>
          <w:tab w:leader="none" w:pos="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Acquired definite-lived intangible assets have a total weighted average life of 10.8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Financing</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on January 2, 2026, the Company entered into a fourth amendment to its existing credit facility, under which the Company obtained a $125.0 million incremental term loan and borrowed an additional $135.0 million under its revolving facility. The proceeds, together with cash on hand, were used to fund the cash consideration paid at closing and related transaction costs.</w:t>
      </w:r>
    </w:p>
    <w:p>
      <w:pPr>
        <w:spacing w:after="0" w:line="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Purchasing Power had approximately $338.6 million of non-recourse funding debt under its securitization and warehouse facilities. This non-recourse funding debt remained in place, and has been recorded at fair value as of the acquisition date and is reflected as liabilities in the preliminary purchase price allocation. The funding debt is secured solely by the related receivables and is non-recourse to the Company's other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additional information regarding the Company's debt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Information</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of the Company as if the acquisition of Purchasing Power had occurred on January 1,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continuing operations</w:t>
            </w:r>
          </w:p>
        </w:tc>
        <w:tc>
          <w:tcPr>
            <w:tcW w:w="130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742,674</w:t>
            </w:r>
          </w:p>
        </w:tc>
        <w:tc>
          <w:tcPr>
            <w:tcW w:w="10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775,503</w:t>
            </w: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30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38,696</w:t>
            </w:r>
          </w:p>
        </w:tc>
        <w:tc>
          <w:tcPr>
            <w:tcW w:w="10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unaudited pro forma information reflects adjustments directly attributable to the acquisition, including amortization of acquired intangible assets, financing effects, and related tax impacts. The pro forma information does not include the effects of expected synergies, integration activities, or other nonrecurring items, and is not necessarily indicative of future results.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cash used in the acquisition, net of cash and restricted cash acquired of $32.4 million, was $391.8 million and is included within investing activities in the condensed consolidated statements of cash flows for the three months ended March 31, 2026.</w:t>
      </w:r>
    </w:p>
    <w:p>
      <w:pPr>
        <w:spacing w:after="0" w:line="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Purchasing Power contributed revenues of $107.1 million and a net loss of $7.5 million to the Company's condensed consolidated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and Wind-Down of Vive</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October 20, 2025, PROG Holdings completed the sale of substantially all of Vive's loans receivable portfolio to Fortiva Funding LLC ("Fortiva"). The results of Vive are reported as discontinued operations for all periods presented. See Note 2 to the consolidated financial statements in the Company's Form 10-K for the year ended December 31, 2025 for additional information.</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sale, the Company's remaining activities related to Vive are limited to transition services and temporary arrangements intended to facilitate the orderly transfer of the business to Fortiva and do not represent ongoing operations of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Involvement</w:t>
      </w:r>
    </w:p>
    <w:p>
      <w:pPr>
        <w:spacing w:after="0" w:line="1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facilitate an orderly transition and wind-down of operations, the Company entered into a Transition Services Agreement ("TSA") with Fortiva. Under the TSA, Vive agreed to continue providing certain servicing, processing, and administrative functions on a short-term interim basis. The Company receives fixed monthly fees under the TSA during the transition period. These services are temporary in nature, are directly related to the wind-down of the Vive business, and are expected to cease upon completion of the transition period. Accordingly, the related revenues and expenses associated with the TSA are presented within discontinued operations. No payments were received for transition services during the three months ended March 31, 2026.</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cut-off date of the sale, Vive continued to originate new credit card receivables for short periods of time under existing merchant agreements, until origination services could be transferred to Fortiva. These newly originated receivables are temporarily owned by Vive and are expected to be sold before the end of 2026. Because these activities are directly related to the disposed credit card business and occurred only to facilitate the transition of merchant relationships, the related revenues and expenses are included in discontinued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of Discontinued Operations</w:t>
      </w:r>
    </w:p>
    <w:p>
      <w:pPr>
        <w:spacing w:after="0" w:line="10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classes of line items constituting the operations of Vive, which are included within the (loss) earnings from discontinued operations, net of income tax, in the condensed consolidated statement of earnings and the operating and investing cash flows of the discontinued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r>
      <w:tr>
        <w:trPr>
          <w:trHeight w:val="196"/>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 from discontinued operations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 of tax</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8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0"/>
        </w:trPr>
        <w:tc>
          <w:tcPr>
            <w:tcW w:w="8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Cash flows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operating activities - discontinued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 - discontinued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1,265</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r>
    </w:tbl>
    <w:p>
      <w:pPr>
        <w:spacing w:after="0" w:line="112" w:lineRule="exact"/>
        <w:rPr>
          <w:sz w:val="20"/>
          <w:szCs w:val="20"/>
          <w:color w:val="auto"/>
        </w:rPr>
      </w:pPr>
    </w:p>
    <w:p>
      <w:pPr>
        <w:ind w:left="80" w:hanging="72"/>
        <w:spacing w:after="0"/>
        <w:tabs>
          <w:tab w:leader="none" w:pos="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Vive did not generate cash flows from financing activities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and liabilities of discontinued operations as of March 31, 2026 and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6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receivable, net</w:t>
            </w:r>
          </w:p>
        </w:tc>
        <w:tc>
          <w:tcPr>
            <w:tcW w:w="3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r>
      <w:tr>
        <w:trPr>
          <w:trHeight w:val="230"/>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29"/>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23"/>
        </w:trPr>
        <w:tc>
          <w:tcPr>
            <w:tcW w:w="4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3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13,550</w:t>
            </w: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3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payable</w:t>
            </w:r>
          </w:p>
        </w:tc>
        <w:tc>
          <w:tcPr>
            <w:tcW w:w="3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3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885"/>
        </w:trPr>
        <w:tc>
          <w:tcPr>
            <w:tcW w:w="4620" w:type="dxa"/>
            <w:vAlign w:val="bottom"/>
          </w:tcPr>
          <w:p>
            <w:pPr>
              <w:spacing w:after="0"/>
              <w:rPr>
                <w:sz w:val="24"/>
                <w:szCs w:val="24"/>
                <w:color w:val="auto"/>
              </w:rPr>
            </w:pPr>
          </w:p>
        </w:tc>
        <w:tc>
          <w:tcPr>
            <w:tcW w:w="31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 AND OTHER RECEIVABLES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and other receivables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9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Pr>
          <w:p>
            <w:pPr>
              <w:spacing w:after="0"/>
              <w:rPr>
                <w:sz w:val="16"/>
                <w:szCs w:val="16"/>
                <w:color w:val="auto"/>
              </w:rPr>
            </w:pPr>
          </w:p>
        </w:tc>
        <w:tc>
          <w:tcPr>
            <w:tcW w:w="19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 accounts receivable:</w:t>
            </w: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Progressive Leasing accounts receivable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128,152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136,234</w:t>
            </w:r>
          </w:p>
        </w:tc>
      </w:tr>
      <w:tr>
        <w:trPr>
          <w:trHeight w:val="229"/>
        </w:trPr>
        <w:tc>
          <w:tcPr>
            <w:tcW w:w="6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accounts receivable allowance</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(68,270)</w:t>
            </w: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(68,806)</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Progressive Leasing accounts receivable, net</w:t>
            </w:r>
          </w:p>
        </w:tc>
        <w:tc>
          <w:tcPr>
            <w:tcW w:w="3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59,882</w:t>
            </w:r>
          </w:p>
        </w:tc>
        <w:tc>
          <w:tcPr>
            <w:tcW w:w="3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67,428</w:t>
            </w:r>
          </w:p>
        </w:tc>
      </w:tr>
      <w:tr>
        <w:trPr>
          <w:trHeight w:val="196"/>
        </w:trPr>
        <w:tc>
          <w:tcPr>
            <w:tcW w:w="6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affiliate and interchange fees receivable</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7,344</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16"/>
        </w:trPr>
        <w:tc>
          <w:tcPr>
            <w:tcW w:w="6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Purchasing Power accounts receivable</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acquired portfolio (at fair value)</w:t>
            </w:r>
          </w:p>
        </w:tc>
        <w:tc>
          <w:tcPr>
            <w:tcW w:w="380" w:type="dxa"/>
            <w:vAlign w:val="bottom"/>
          </w:tcPr>
          <w:p>
            <w:pPr>
              <w:spacing w:after="0"/>
              <w:rPr>
                <w:sz w:val="19"/>
                <w:szCs w:val="19"/>
                <w:color w:val="auto"/>
              </w:rPr>
            </w:pPr>
          </w:p>
        </w:tc>
        <w:tc>
          <w:tcPr>
            <w:tcW w:w="1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203,043</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post-acquisition portfolio</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99,760</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 - post-acquisition portfolio</w:t>
            </w: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unearned interest income - post-acquisition portfolio</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Client and miscellaneous receivables</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29,925</w:t>
            </w: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Purchasing Power accounts receivable, net</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320,360</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387,586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receivables - Purchasing Power</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receivables - acquired portfolio (at fair value)</w:t>
            </w:r>
          </w:p>
        </w:tc>
        <w:tc>
          <w:tcPr>
            <w:tcW w:w="380" w:type="dxa"/>
            <w:vAlign w:val="bottom"/>
          </w:tcPr>
          <w:p>
            <w:pPr>
              <w:spacing w:after="0"/>
              <w:rPr>
                <w:sz w:val="19"/>
                <w:szCs w:val="19"/>
                <w:color w:val="auto"/>
              </w:rPr>
            </w:pPr>
          </w:p>
        </w:tc>
        <w:tc>
          <w:tcPr>
            <w:tcW w:w="1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20,891</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 - post-acquisition portfolio</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17,041</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allowance for credit losses - post-acquisition portfolio</w:t>
            </w: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unearned interest income - post-acquisition portfolio</w:t>
            </w:r>
          </w:p>
        </w:tc>
        <w:tc>
          <w:tcPr>
            <w:tcW w:w="3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3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receivables, net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34,588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Progressive Leasing accounts receivable represent lease payments due from customers and are presented net of an accounts receivable allowance.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in the lease receivable allowance related to Progressive Leasing: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5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6"/>
              </w:rPr>
              <w:t>68,806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71,607</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accounts receivable written off</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(88,378)</w:t>
            </w:r>
          </w:p>
        </w:tc>
        <w:tc>
          <w:tcPr>
            <w:tcW w:w="440" w:type="dxa"/>
            <w:vAlign w:val="bottom"/>
          </w:tcPr>
          <w:p>
            <w:pPr>
              <w:spacing w:after="0"/>
              <w:rPr>
                <w:sz w:val="19"/>
                <w:szCs w:val="19"/>
                <w:color w:val="auto"/>
              </w:rPr>
            </w:pPr>
          </w:p>
        </w:tc>
        <w:tc>
          <w:tcPr>
            <w:tcW w:w="12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(94,210)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6"/>
              </w:rPr>
              <w:t>11,927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11,878</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Accounts receivable provision</w:t>
            </w:r>
          </w:p>
        </w:tc>
        <w:tc>
          <w:tcPr>
            <w:tcW w:w="3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6"/>
              </w:rPr>
              <w:t>75,915</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6"/>
              </w:rPr>
              <w:t>84,593</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6"/>
              </w:rPr>
              <w:t>68,270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73,868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6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Power</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Purchasing Power receivables consist of amounts acquired in the acquisition of Purchasing Power, LLC on January 2, 2026 and receivables originated subsequent to the acquisition date. These receivables are classified as either accounts receivable or other receivables based on the nature of the underlying transaction, consistent with the Company's accounting policies described in Note 1.</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Receivables acquired in the acquisition, including both accounts receivable and other receivables, are measured at fair value in accordance with the fair value option. During the three months ended March 31, 2026, the Company recognized a $5.7 million gain on change in the fair value of receivables, which includes $6.6 million of interest income accretion offset by $0.9 million of changes in the fair value. Receivables originated subsequent to the acquisition date are measured at amortized cost. Additional information regarding measurement and income or loss recognition is included in Note 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Accounts receivable represent amounts due from customers associated with product sales and commission-based service revenues and are presented net of an allowance for credit losses and unearned interest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receivables represent amounts billed to end users that are not associated with revenue recognized under ASC 606, including the portion of customer receivables that are service-related costs, sales taxes, and other pass-through charges. These amounts arise in connection with transactions in which the Company facilitates the sale of third-party services as an agent in the transaction and subsequently collects the total contractual consideration from the end-customer.</w:t>
      </w:r>
    </w:p>
    <w:p>
      <w:pPr>
        <w:spacing w:after="0" w:line="4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Other receivables include both acquired and originated balances. Originated other receivables are presented separately and interest is imputed over the contract terms. Cash flows associated with originated other receivables are classified as investing activities in the condensed consolidated statements of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06"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allowance for credit losses for Purchasing Power receivables originated post-acquisition, including both accounts receivable and other receivables, reflects management's estimate of lifetime expected credit losses and is determined in accordance with the Company's policy described in Note 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in the allowance for credit losses related to Purchasing Power post-acquisition receivables: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60" w:type="dxa"/>
            <w:vAlign w:val="bottom"/>
            <w:gridSpan w:val="3"/>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4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Other receivables</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accounts written off</w:t>
            </w:r>
          </w:p>
        </w:tc>
        <w:tc>
          <w:tcPr>
            <w:tcW w:w="340" w:type="dxa"/>
            <w:vAlign w:val="bottom"/>
          </w:tcPr>
          <w:p>
            <w:pPr>
              <w:spacing w:after="0"/>
              <w:rPr>
                <w:sz w:val="19"/>
                <w:szCs w:val="19"/>
                <w:color w:val="auto"/>
              </w:rPr>
            </w:pPr>
          </w:p>
        </w:tc>
        <w:tc>
          <w:tcPr>
            <w:tcW w:w="2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11,030</w:t>
            </w:r>
          </w:p>
        </w:tc>
        <w:tc>
          <w:tcPr>
            <w:tcW w:w="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11,030</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Purchasing Power receivables originated post-acquisition, disaggregated by credit quality indicator, as of March 31, 2026:</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3960" w:type="dxa"/>
            <w:vAlign w:val="bottom"/>
            <w:gridSpan w:val="5"/>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Originated post-acquisition accounts receivables</w:t>
            </w:r>
          </w:p>
        </w:tc>
        <w:tc>
          <w:tcPr>
            <w:tcW w:w="320" w:type="dxa"/>
            <w:vAlign w:val="bottom"/>
          </w:tcPr>
          <w:p>
            <w:pPr>
              <w:spacing w:after="0"/>
              <w:rPr>
                <w:sz w:val="16"/>
                <w:szCs w:val="16"/>
                <w:color w:val="auto"/>
              </w:rPr>
            </w:pPr>
          </w:p>
        </w:tc>
        <w:tc>
          <w:tcPr>
            <w:tcW w:w="3980" w:type="dxa"/>
            <w:vAlign w:val="bottom"/>
            <w:gridSpan w:val="5"/>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Originated post-acquisition other receivables</w:t>
            </w:r>
          </w:p>
        </w:tc>
        <w:tc>
          <w:tcPr>
            <w:tcW w:w="0" w:type="dxa"/>
            <w:vAlign w:val="bottom"/>
          </w:tcPr>
          <w:p>
            <w:pPr>
              <w:spacing w:after="0"/>
              <w:rPr>
                <w:sz w:val="1"/>
                <w:szCs w:val="1"/>
                <w:color w:val="auto"/>
              </w:rPr>
            </w:pPr>
          </w:p>
        </w:tc>
      </w:tr>
      <w:tr>
        <w:trPr>
          <w:trHeight w:val="23"/>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Aging category</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Federal</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Non-Federal</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Federal</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Non-Federal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1-30 days past due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31-59 days past due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60 or more days past due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receivables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receivables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gross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89,055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108,894</w:t>
            </w:r>
          </w:p>
        </w:tc>
      </w:tr>
      <w:tr>
        <w:trPr>
          <w:trHeight w:val="23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Unamortized fees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amortized cost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88,594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107,966</w:t>
            </w:r>
          </w:p>
        </w:tc>
      </w:tr>
      <w:tr>
        <w:trPr>
          <w:trHeight w:val="230"/>
        </w:trPr>
        <w:tc>
          <w:tcPr>
            <w:tcW w:w="7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(17,594)</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(17,318)</w:t>
            </w:r>
          </w:p>
        </w:tc>
      </w:tr>
      <w:tr>
        <w:trPr>
          <w:trHeight w:val="248"/>
        </w:trPr>
        <w:tc>
          <w:tcPr>
            <w:tcW w:w="78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Loans receivable, net of allowances and unamortized fees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Loans receivable, net of allowances and unamortized fees attributable to Four was $65.5 million and $84.4 million as of March 31, 2026 and December 31, 2025, respectively.</w:t>
      </w:r>
    </w:p>
    <w:p>
      <w:pPr>
        <w:spacing w:after="0" w:line="14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Four extends or declines credit on an individual transaction basis using its proprietary decisioning platform, without using customer credit ratings. Four instead uses an internal model based on factors such as banking data and user history to generate internal proprietary risk scores. Four groups its internal risk scores into three categories that range from A to C, with an A rating representing the highest credit quality.</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Below is a summary of the credit quality of Four's loan portfolio as of March 31, 2026 and December 31, 2025 by proprietary risk category as determined at the time of loan origination: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2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 proprietary risk category:</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Category A</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27.3 %</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Category B</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50.0 %</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r>
      <w:tr>
        <w:trPr>
          <w:trHeight w:val="234"/>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Category C</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22.7 %</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454"/>
        </w:trPr>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 below presents credit quality indicators of the amortized cost of the Company's loans receivable by origination year:</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 (in thousands)</w:t>
            </w:r>
          </w:p>
        </w:tc>
        <w:tc>
          <w:tcPr>
            <w:tcW w:w="440" w:type="dxa"/>
            <w:vAlign w:val="bottom"/>
          </w:tcPr>
          <w:p>
            <w:pPr>
              <w:spacing w:after="0"/>
              <w:rPr>
                <w:sz w:val="24"/>
                <w:szCs w:val="24"/>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 and Prior</w:t>
            </w:r>
          </w:p>
        </w:tc>
        <w:tc>
          <w:tcPr>
            <w:tcW w:w="380" w:type="dxa"/>
            <w:vAlign w:val="bottom"/>
          </w:tcPr>
          <w:p>
            <w:pPr>
              <w:spacing w:after="0"/>
              <w:rPr>
                <w:sz w:val="24"/>
                <w:szCs w:val="24"/>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 proprietary risk category:</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Category A</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20,096</w:t>
            </w:r>
          </w:p>
        </w:tc>
        <w:tc>
          <w:tcPr>
            <w:tcW w:w="7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22,341</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Category B</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36,774</w:t>
            </w: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40,881</w:t>
            </w: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Category C</w:t>
            </w:r>
          </w:p>
        </w:tc>
        <w:tc>
          <w:tcPr>
            <w:tcW w:w="4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16,661</w:t>
            </w: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strategic operations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6,850</w:t>
            </w:r>
          </w:p>
        </w:tc>
        <w:tc>
          <w:tcPr>
            <w:tcW w:w="7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80,381</w:t>
            </w:r>
          </w:p>
        </w:tc>
        <w:tc>
          <w:tcPr>
            <w:tcW w:w="7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88,594</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5"/>
        </w:trPr>
        <w:tc>
          <w:tcPr>
            <w:tcW w:w="7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charge-offs by origination year for the three months ended March 31, 2026</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1,877</w:t>
            </w:r>
          </w:p>
        </w:tc>
        <w:tc>
          <w:tcPr>
            <w:tcW w:w="7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w:t>
            </w:r>
          </w:p>
        </w:tc>
      </w:tr>
      <w:tr>
        <w:trPr>
          <w:trHeight w:val="46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the table below is an aging of the loans receivable, gross balance: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7"/>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2"/>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Aging category</w:t>
            </w:r>
          </w:p>
        </w:tc>
        <w:tc>
          <w:tcPr>
            <w:tcW w:w="440" w:type="dxa"/>
            <w:vAlign w:val="bottom"/>
          </w:tcPr>
          <w:p>
            <w:pPr>
              <w:spacing w:after="0"/>
              <w:rPr>
                <w:sz w:val="17"/>
                <w:szCs w:val="17"/>
                <w:color w:val="auto"/>
              </w:rPr>
            </w:pPr>
          </w:p>
        </w:tc>
        <w:tc>
          <w:tcPr>
            <w:tcW w:w="16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2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1-30 days past due</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10.8 %</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31-59 days past due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color w:val="auto"/>
              </w:rPr>
              <w:t>5.3 %</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60 or more days past due</w:t>
            </w:r>
          </w:p>
        </w:tc>
        <w:tc>
          <w:tcPr>
            <w:tcW w:w="4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loans receivable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color w:val="auto"/>
              </w:rPr>
              <w:t>26.1 %</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loans receivable</w:t>
            </w:r>
          </w:p>
        </w:tc>
        <w:tc>
          <w:tcPr>
            <w:tcW w:w="4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73.9 %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loans receivable 90 or more days past due and still accruing interest and fees</w:t>
            </w:r>
          </w:p>
        </w:tc>
        <w:tc>
          <w:tcPr>
            <w:tcW w:w="440" w:type="dxa"/>
            <w:vAlign w:val="bottom"/>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898"/>
        </w:trPr>
        <w:tc>
          <w:tcPr>
            <w:tcW w:w="71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7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the allowance for loan losses: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17,318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11,206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Charge-offs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2,735</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17,594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assets and liabilities measured at fair value on a recurring basis: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46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Purchasing Power accounts receivable - acquired portfolio</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203,043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Purchasing Power other receivables - acquired portfolio</w:t>
            </w: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20,891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3,449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3,431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Receivables associated with the Purchasing Power acquired portfolio are measured at fair value on a recurring basis pursuant to the Company's election of the fair value option under ASC 825. The fair value of these receivables is estimated using a discounted cash flow methodology that incorporates significant unobservable inputs, including expected cash collections, default rates, and market-based discount rates commensurate with the credit risk of the underlying borrowers. Changes in fair value attributable to the passage of time, credit performance, discount rates, and other assumptions, are recognized within gain on change in the fair value of receivables.</w:t>
      </w:r>
    </w:p>
    <w:p>
      <w:pPr>
        <w:spacing w:after="0" w:line="4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 for Which Fair Value is Disclosed</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Four's loans receivable, net of an allowance for loan losses and unamortized fees, are included within loans receivable, net in the condensed consolidated balance sheets and approximated fair value based on a discounted cash flow methodology. The carrying value of loans receivable from our other strategic operations approximates fair value based on a discounted cash flow methodology due to the short durations of these loans.</w:t>
      </w:r>
    </w:p>
    <w:p>
      <w:pPr>
        <w:spacing w:after="0" w:line="5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Purchasing Power receivables originated subsequent to the acquisition date generally have contractual terms of 12 months or less, and the Company believes the carrying value of these receivables approximates fair value due to their short duration. For receivables with contractual terms exceeding 12 months, the Company records the receivables at the present value of expected future cash flows using a discount rate reflective of the underlying transaction at inception. The Company believes these discount rates approximate current market rates for similar instruments, and there have not been significant changes in credit risk or market conditions since origination. Accordingly, the carrying value of these receivables approximates their fair value.</w:t>
      </w:r>
    </w:p>
    <w:p>
      <w:pPr>
        <w:spacing w:after="0" w:line="3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Company's debt is carried at amortized cost in the condensed consolidated balance sheets and is measured at fair value for disclosure purposes. The fair value of the Senior Notes was estimated based on quoted market prices in less active markets and has been classified as Level 2 in the fair value hierarchy.</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fair value of the Company's term loan and revolving credit facility, when outstanding, approximates carrying value due to their variable interest rates, which reset periodically based on market indices (e.g., SOFR). The fair value of the Company's asset-backed and securitization debt is estimated using discounted cash flow models that incorporate significant unobservable inputs, including market spreads for comparable instruments, expected cash flows, and credit performance assumptions. Accordingly, these instruments are classified as Level 3 in the fair value hierarchy.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fixed-rate debt: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592,140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debt</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219,736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900"/>
        </w:trPr>
        <w:tc>
          <w:tcPr>
            <w:tcW w:w="3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INDEBTEDNESS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Pr>
          <w:p>
            <w:pPr>
              <w:jc w:val="center"/>
              <w:ind w:left="51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1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6"/>
                <w:szCs w:val="16"/>
                <w:color w:val="auto"/>
              </w:rPr>
            </w:pPr>
          </w:p>
        </w:tc>
        <w:tc>
          <w:tcPr>
            <w:tcW w:w="14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3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1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unsecured notes</w:t>
            </w:r>
          </w:p>
        </w:tc>
        <w:tc>
          <w:tcPr>
            <w:tcW w:w="1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6.00%</w:t>
            </w:r>
          </w:p>
        </w:tc>
        <w:tc>
          <w:tcPr>
            <w:tcW w:w="2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2029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 A</w:t>
            </w:r>
          </w:p>
        </w:tc>
        <w:tc>
          <w:tcPr>
            <w:tcW w:w="1960" w:type="dxa"/>
            <w:vAlign w:val="bottom"/>
            <w:shd w:val="clear" w:color="auto" w:fill="CCEEFF"/>
          </w:tcPr>
          <w:p>
            <w:pPr>
              <w:jc w:val="center"/>
              <w:ind w:left="492"/>
              <w:spacing w:after="0" w:line="230" w:lineRule="exact"/>
              <w:rPr>
                <w:sz w:val="20"/>
                <w:szCs w:val="20"/>
                <w:color w:val="auto"/>
              </w:rPr>
            </w:pPr>
            <w:r>
              <w:rPr>
                <w:rFonts w:ascii="Times New Roman" w:cs="Times New Roman" w:eastAsia="Times New Roman" w:hAnsi="Times New Roman"/>
                <w:sz w:val="18"/>
                <w:szCs w:val="18"/>
                <w:color w:val="auto"/>
                <w:w w:val="94"/>
              </w:rPr>
              <w:t>Variable</w:t>
            </w:r>
            <w:r>
              <w:rPr>
                <w:rFonts w:ascii="Times New Roman" w:cs="Times New Roman" w:eastAsia="Times New Roman" w:hAnsi="Times New Roman"/>
                <w:sz w:val="23"/>
                <w:szCs w:val="23"/>
                <w:color w:val="auto"/>
                <w:w w:val="94"/>
                <w:vertAlign w:val="superscript"/>
              </w:rPr>
              <w:t>1</w:t>
            </w:r>
          </w:p>
        </w:tc>
        <w:tc>
          <w:tcPr>
            <w:tcW w:w="2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November 2029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Revolving facility outstanding</w:t>
            </w:r>
          </w:p>
        </w:tc>
        <w:tc>
          <w:tcPr>
            <w:tcW w:w="1960" w:type="dxa"/>
            <w:vAlign w:val="bottom"/>
          </w:tcPr>
          <w:p>
            <w:pPr>
              <w:jc w:val="center"/>
              <w:ind w:left="492"/>
              <w:spacing w:after="0" w:line="230" w:lineRule="exact"/>
              <w:rPr>
                <w:sz w:val="20"/>
                <w:szCs w:val="20"/>
                <w:color w:val="auto"/>
              </w:rPr>
            </w:pPr>
            <w:r>
              <w:rPr>
                <w:rFonts w:ascii="Times New Roman" w:cs="Times New Roman" w:eastAsia="Times New Roman" w:hAnsi="Times New Roman"/>
                <w:sz w:val="18"/>
                <w:szCs w:val="18"/>
                <w:color w:val="auto"/>
                <w:w w:val="94"/>
              </w:rPr>
              <w:t>Variable</w:t>
            </w:r>
            <w:r>
              <w:rPr>
                <w:rFonts w:ascii="Times New Roman" w:cs="Times New Roman" w:eastAsia="Times New Roman" w:hAnsi="Times New Roman"/>
                <w:sz w:val="23"/>
                <w:szCs w:val="23"/>
                <w:color w:val="auto"/>
                <w:w w:val="94"/>
                <w:vertAlign w:val="superscript"/>
              </w:rPr>
              <w:t>2</w:t>
            </w:r>
          </w:p>
        </w:tc>
        <w:tc>
          <w:tcPr>
            <w:tcW w:w="2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2029</w:t>
            </w:r>
          </w:p>
        </w:tc>
        <w:tc>
          <w:tcPr>
            <w:tcW w:w="20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corporate debt, net</w:t>
            </w:r>
          </w:p>
        </w:tc>
        <w:tc>
          <w:tcPr>
            <w:tcW w:w="19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644,696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594,861</w:t>
            </w:r>
          </w:p>
        </w:tc>
      </w:tr>
      <w:tr>
        <w:trPr>
          <w:trHeight w:val="250"/>
        </w:trPr>
        <w:tc>
          <w:tcPr>
            <w:tcW w:w="39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debt</w:t>
            </w:r>
          </w:p>
        </w:tc>
        <w:tc>
          <w:tcPr>
            <w:tcW w:w="1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 Series 2023-A</w:t>
            </w:r>
          </w:p>
        </w:tc>
        <w:tc>
          <w:tcPr>
            <w:tcW w:w="1960" w:type="dxa"/>
            <w:vAlign w:val="bottom"/>
            <w:shd w:val="clear" w:color="auto" w:fill="CCEEFF"/>
          </w:tcPr>
          <w:p>
            <w:pPr>
              <w:jc w:val="center"/>
              <w:ind w:left="492"/>
              <w:spacing w:after="0" w:line="230" w:lineRule="exact"/>
              <w:rPr>
                <w:sz w:val="20"/>
                <w:szCs w:val="20"/>
                <w:color w:val="auto"/>
              </w:rPr>
            </w:pPr>
            <w:r>
              <w:rPr>
                <w:rFonts w:ascii="Times New Roman" w:cs="Times New Roman" w:eastAsia="Times New Roman" w:hAnsi="Times New Roman"/>
                <w:sz w:val="18"/>
                <w:szCs w:val="18"/>
                <w:color w:val="auto"/>
                <w:w w:val="94"/>
              </w:rPr>
              <w:t>Variable</w:t>
            </w:r>
            <w:r>
              <w:rPr>
                <w:rFonts w:ascii="Times New Roman" w:cs="Times New Roman" w:eastAsia="Times New Roman" w:hAnsi="Times New Roman"/>
                <w:sz w:val="23"/>
                <w:szCs w:val="23"/>
                <w:color w:val="auto"/>
                <w:w w:val="94"/>
                <w:vertAlign w:val="superscript"/>
              </w:rPr>
              <w:t>3</w:t>
            </w:r>
          </w:p>
        </w:tc>
        <w:tc>
          <w:tcPr>
            <w:tcW w:w="2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April 2030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58,498</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B - Series 2023-A</w:t>
            </w:r>
          </w:p>
        </w:tc>
        <w:tc>
          <w:tcPr>
            <w:tcW w:w="1960" w:type="dxa"/>
            <w:vAlign w:val="bottom"/>
          </w:tcPr>
          <w:p>
            <w:pPr>
              <w:jc w:val="center"/>
              <w:ind w:left="492"/>
              <w:spacing w:after="0" w:line="230" w:lineRule="exact"/>
              <w:rPr>
                <w:sz w:val="20"/>
                <w:szCs w:val="20"/>
                <w:color w:val="auto"/>
              </w:rPr>
            </w:pPr>
            <w:r>
              <w:rPr>
                <w:rFonts w:ascii="Times New Roman" w:cs="Times New Roman" w:eastAsia="Times New Roman" w:hAnsi="Times New Roman"/>
                <w:sz w:val="18"/>
                <w:szCs w:val="18"/>
                <w:color w:val="auto"/>
                <w:w w:val="94"/>
              </w:rPr>
              <w:t>Variable</w:t>
            </w:r>
            <w:r>
              <w:rPr>
                <w:rFonts w:ascii="Times New Roman" w:cs="Times New Roman" w:eastAsia="Times New Roman" w:hAnsi="Times New Roman"/>
                <w:sz w:val="23"/>
                <w:szCs w:val="23"/>
                <w:color w:val="auto"/>
                <w:w w:val="94"/>
                <w:vertAlign w:val="superscript"/>
              </w:rPr>
              <w:t>3</w:t>
            </w:r>
          </w:p>
        </w:tc>
        <w:tc>
          <w:tcPr>
            <w:tcW w:w="2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2030</w:t>
            </w:r>
          </w:p>
        </w:tc>
        <w:tc>
          <w:tcPr>
            <w:tcW w:w="20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15,180</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 Series 2026-A</w:t>
            </w:r>
          </w:p>
        </w:tc>
        <w:tc>
          <w:tcPr>
            <w:tcW w:w="196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4.37%</w:t>
            </w:r>
          </w:p>
        </w:tc>
        <w:tc>
          <w:tcPr>
            <w:tcW w:w="2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August 2030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122,680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B - Series 2026-A</w:t>
            </w:r>
          </w:p>
        </w:tc>
        <w:tc>
          <w:tcPr>
            <w:tcW w:w="1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4.81%</w:t>
            </w:r>
          </w:p>
        </w:tc>
        <w:tc>
          <w:tcPr>
            <w:tcW w:w="2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August 2030</w:t>
            </w:r>
          </w:p>
        </w:tc>
        <w:tc>
          <w:tcPr>
            <w:tcW w:w="20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32,010</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C - Series 2026-A</w:t>
            </w:r>
          </w:p>
        </w:tc>
        <w:tc>
          <w:tcPr>
            <w:tcW w:w="196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5.25%</w:t>
            </w:r>
          </w:p>
        </w:tc>
        <w:tc>
          <w:tcPr>
            <w:tcW w:w="2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August 2030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29,330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D - Series 2026-A</w:t>
            </w:r>
          </w:p>
        </w:tc>
        <w:tc>
          <w:tcPr>
            <w:tcW w:w="1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5.40%</w:t>
            </w:r>
          </w:p>
        </w:tc>
        <w:tc>
          <w:tcPr>
            <w:tcW w:w="2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August 2030</w:t>
            </w:r>
          </w:p>
        </w:tc>
        <w:tc>
          <w:tcPr>
            <w:tcW w:w="20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20,230</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E - Series 2026-A</w:t>
            </w:r>
          </w:p>
        </w:tc>
        <w:tc>
          <w:tcPr>
            <w:tcW w:w="196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7.54%</w:t>
            </w:r>
          </w:p>
        </w:tc>
        <w:tc>
          <w:tcPr>
            <w:tcW w:w="2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August 2030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15,750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9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asset-backed debt, net</w:t>
            </w:r>
          </w:p>
        </w:tc>
        <w:tc>
          <w:tcPr>
            <w:tcW w:w="1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291,426</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00" w:type="dxa"/>
            <w:vAlign w:val="bottom"/>
            <w:tcBorders>
              <w:bottom w:val="single" w:sz="8" w:color="CCEEFF"/>
            </w:tcBorders>
          </w:tcPr>
          <w:p>
            <w:pPr>
              <w:spacing w:after="0"/>
              <w:rPr>
                <w:sz w:val="23"/>
                <w:szCs w:val="23"/>
                <w:color w:val="auto"/>
              </w:rPr>
            </w:pPr>
          </w:p>
        </w:tc>
        <w:tc>
          <w:tcPr>
            <w:tcW w:w="1960" w:type="dxa"/>
            <w:vAlign w:val="bottom"/>
            <w:tcBorders>
              <w:bottom w:val="single" w:sz="8" w:color="CCEEFF"/>
            </w:tcBorders>
          </w:tcPr>
          <w:p>
            <w:pPr>
              <w:spacing w:after="0"/>
              <w:rPr>
                <w:sz w:val="23"/>
                <w:szCs w:val="23"/>
                <w:color w:val="auto"/>
              </w:rPr>
            </w:pPr>
          </w:p>
        </w:tc>
        <w:tc>
          <w:tcPr>
            <w:tcW w:w="21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19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936,122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594,861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100" w:hanging="92"/>
        <w:spacing w:after="0"/>
        <w:tabs>
          <w:tab w:leader="none" w:pos="1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Term Loan A bears interest at either a base rate or term SOFR plus an applicable margin based on the Company's leverage ratio.</w:t>
      </w:r>
    </w:p>
    <w:p>
      <w:pPr>
        <w:spacing w:after="0" w:line="44" w:lineRule="exact"/>
        <w:rPr>
          <w:sz w:val="20"/>
          <w:szCs w:val="20"/>
          <w:color w:val="auto"/>
        </w:rPr>
      </w:pPr>
    </w:p>
    <w:p>
      <w:pPr>
        <w:ind w:left="100" w:hanging="92"/>
        <w:spacing w:after="0"/>
        <w:tabs>
          <w:tab w:leader="none" w:pos="10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Revolving Facility bears interest at either a base rate or term SOFR plus an applicable margin based on the Company's leverage ratio.</w:t>
      </w:r>
    </w:p>
    <w:p>
      <w:pPr>
        <w:spacing w:after="0" w:line="53" w:lineRule="exact"/>
        <w:rPr>
          <w:sz w:val="20"/>
          <w:szCs w:val="20"/>
          <w:color w:val="auto"/>
        </w:rPr>
      </w:pPr>
    </w:p>
    <w:p>
      <w:pPr>
        <w:ind w:left="80" w:right="100" w:hanging="72"/>
        <w:spacing w:after="0" w:line="302" w:lineRule="auto"/>
        <w:tabs>
          <w:tab w:leader="none" w:pos="69"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2023-A facility bears interest on Class A at 2.05% plus the greater of the CP Rate (as defined in the agreement) or the floor rate of 0% and for Class B at 8.25% plus the greater of the term SOFR plus 0.1% or the floor rate of 3.0%.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9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Senior Notes are general unsecured obligations of the Company and are guaranteed by certain of the Company's existing and future domestic subsidiaries. There were no changes to the Company's Senior Unsecured Notes during the three months ended March 31,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0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January 2, 2026, the Company entered into a Fourth Amendment to its existing credit agreement (the "Credit Facility"), which, among other things, modified the terms of the revolving credit facility (the "Revolving Facility") and provided for a new $125.0 million term loan (the "Term Loan A"). The amendment was accounted for as a modification in accordance with ASC 470-50, as the terms were not substantially different.</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Credit Facility contains financial covenants, which include requirements that the Company maintain ratios of (i) total net debt to EBITDA as defined by the Credit Facility of no more than (a) 3.25:1.00, as of the last day of each Fiscal Quarter ending during the period from January 1, 2026 to and including December 31, 2026, (b) 3.00:1.00, as of the last day of each Fiscal Quarter ending during the period from January 1, 2027 to and including December 31, 2027, and (c) 2.50:1.00, as of the last day of each Fiscal Quarter ending thereafter; and (ii) consolidated interest coverage of no less than 3.00:1.00.</w:t>
      </w:r>
    </w:p>
    <w:p>
      <w:pPr>
        <w:spacing w:after="0" w:line="4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maintains a $350.0 million senior unsecured Revolving Facility which matures on November 15, 2029. Borrowings bear interest, at the Company's election, at either a base rate or a term SOFR rate plus an applicable margin based on the Company's leverage ratio. The Revolving Facility includes a commitment fee on unused capacity.</w:t>
      </w:r>
    </w:p>
    <w:p>
      <w:pPr>
        <w:spacing w:after="0" w:line="5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outstanding borrowings under the Revolving Facility, with $350.0 million remaining available for borrowing. Borrowings and repayments under the Revolving Facility during the quarter primarily related to</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20"/>
        <w:spacing w:after="0" w:line="236"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liquidity needs surrounding the acquisition and related transactions. Unamortized debt issuance costs related to the Revolving Facility were $3.4 million and $2.6 million as of March 31, 2026 and December 31, 2025, respectively. These amounts were included within prepaid expenses and other assets in the condensed consolidated balance sheets and are amortized over the term of the facility using the effective interest method.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A matures November 15, 2029 and amortizes through quarterly principal payments, with the remaining balance due at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bear interest at either a base rate or a term SOFR rate plus an applicable margin determined by the Company's leverage ratio.</w:t>
      </w:r>
    </w:p>
    <w:p>
      <w:pPr>
        <w:spacing w:after="0" w:line="8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made a voluntary prepayment of $75.0 million on the Term Loan A, reducing the outstanding principal balance to $50.0 million. Debt issuance costs are presented as a direct reduction of the carrying amount of the debt and amortized using the effective interest method over the contractual term of the loan in accordance with ASC 835-30.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and Asset-Backed Debt</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Purchasing Power on January 2, 2026, the Company assumed certain non-recourse funding debt arrangements, including securitization and warehouse credit facilities, which were recorded at fair value in accordance with ASC 805. Fair value was determined using discounted cash flow models incorporating market spreads for comparable instruments (Level 3 input).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accounted for as secured borrowings, as the related receivables remain on the Company's condensed consolidated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for additional information regarding the structure, consolidation, and nature of VIEs.</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asset-backed debt is secured by receivables and related collections held by the applicable securitization entities. These assets are restricted and are not available to satisfy the claims of the Company's general creditors. As of March 31, 2026, the carrying values of the receivables pledged as collateral for these arrangements was approximately $375.1 million. Restricted cash held by the securitization entities, including collections and reserve accounts, was approximately $9.3 million.</w:t>
      </w:r>
    </w:p>
    <w:p>
      <w:pPr>
        <w:spacing w:after="0" w:line="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Collections on the underlying receivables are applied pursuant to contractual priority of payments provisions. These provisions generally require that cash flows be applied to servicing fees, interest on outstanding notes, and principal repayments, with any remaining amounts distributed to the Company.</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securitization and warehouse arrangements include customary covenants and performance-based triggers, including requirements related to collateral performance, overcollateralization levels, and excess spread. If certain triggers are breached, the arrangements may enter a rapid amortization period, during which principal collections are used to accelerate repayment of outstanding debt and distributions to the Company may be limited. As of March 31, 2026, the Company was in compliance with all such covenants and no early amortization events had occurred.</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Subsequent to its acquisition of Purchasing Power, the Company repaid and terminated certain securitization and warehouse funding arrangements assumed in the acquisition. These transactions were accounted for as extinguishments of debt. No material gain or loss was recognized, as the reacquisition prices approximated the carrying values at the time of extinguishment, which were based on the fair values recognized at the acquisition date.</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February 26, 2026, a wholly-owned securitization entity issued $220.0 million aggregate principal amount of asset-backed notes (the "Series 2026-A Facility") to third parties in a private placement transaction. The notes are recorded at their principal amount, net of debt issuance costs, which are amortized over the expected life of the notes using the effective interest method.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Activity</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debt activity for the three months ended March 31, 2026 (balances in the activity table reflect gross principal amounts and exclude unamortized debt issuance costs):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instrument</w:t>
            </w: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New borrowings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Debt paydowns</w:t>
            </w:r>
          </w:p>
        </w:tc>
        <w:tc>
          <w:tcPr>
            <w:tcW w:w="13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unsecured notes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 A</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Revolving facility</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corporate debt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debt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2023-A facility</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73,678</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PPF1 facility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PPF 2024-A</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200,360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(200,360)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Series 2026-A facility</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asset-backed debt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338,608</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236,178</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293,678</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546,178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(541,108)</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943,678</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0" w:right="660" w:hanging="72"/>
        <w:spacing w:after="0" w:line="237" w:lineRule="auto"/>
        <w:tabs>
          <w:tab w:leader="none" w:pos="69"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new borrowings on the revolving facility included $135.0 million used for the acquisition of Purchasing Power and an additional $50 million for other working capital needs. The aggregated new revolving facility borrowings of $185 million were repaid during the three months ended March 31,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was in compliance with all financial covenants under its debt agreements, including the maximum total net leverage ratio and minimum interest coverage ratio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Schedule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future principal maturities of our debt due as of March 31, 2026:</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293,678</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943,678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Interest on asset-backed financing relates to the Company's securitization and warehouse funding arrangements, which are secured by the underlying receivables and are generally non-recourse to the Company's other assets. Interest on corporate debt relates to borrowings under the Company's senior unsecured notes, term loan, and revolving credit facility. Amortization of debt issuance costs is recognized as interest expense over the respective terms of the related debt instruments using the effective interest method. Interest expense consists of the following: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Borders>
              <w:top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4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corporate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asset-backed financing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expense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9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w:t>
            </w:r>
          </w:p>
        </w:tc>
      </w:tr>
      <w:tr>
        <w:trPr>
          <w:trHeight w:val="229"/>
        </w:trPr>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9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9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9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-334010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080"/>
          </w:cols>
          <w:pgMar w:left="340" w:top="36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type w:val="continuous"/>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March 31, 2026 and December 31, 2025, the Company had accrued $0.5 million and $3.8 million,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March 31, 2026,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Inquiries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2020, Progressive Leasing entered into a settlement (the "FTC Settlement") with the Federal Trade Commission ("FTC") to resolve allegations by the FTC that certain of Progressive Leasing's advertising and marketing practices violated the FTC Act. Progressive Leasing did not admit any violations of the FTC Act or any other laws in connection with the FTC Settlement. Under the terms of the FTC Settlement, Progressive Leasing paid $175.0 million to the FTC and agreed to enhance certain of its compliance-related activities, including augmenting disclosures to its customers and expanding its POS partner monitoring programs. Progressive Leasing further agreed to submit compliance reports or produce other requested documents and information to the FTC upon written request by the FTC.</w:t>
      </w:r>
    </w:p>
    <w:p>
      <w:pPr>
        <w:spacing w:after="0" w:line="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Progressive Leasing received a written request from the FTC to evidence Progressive Leasing's compliance with the FTC Settlement by providing the FTC with information and documents, including those related to customer complaints and advertising and marketing materials. The FTC's request is not a civil investigative demand. The Company fully cooperated with the FTC in responding to the FTC’s request for information and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its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 cybersecurity incident, Progressive Leasing was named a defendant in multiple lawsuits which alleged, among other things, various damages arising out of the incident. All of those lawsuits were consolidated into a single action in the United States District Court for the District of Utah (the "District Court"). On June 30, 2025, the parties reached an agreement, subject to District Court approval, to resolve all of the alleged claims in the litigation in exchange for a settlement payment of $3.3 million. That settlement was approved by the District Court on February 6, 2026. The full amount of the settlement was paid by the Company's cybersecurity insurance during the three months ended March 31, 2026.</w:t>
      </w:r>
    </w:p>
    <w:p>
      <w:pPr>
        <w:spacing w:after="0" w:line="48"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In October 2025, a putative class action, Sterling Kelly v. Prog Services, Inc. d/b/a MoneyApp, was filed against the Company's MoneyApp business in the Third Judicial District Court, Salt Lake County, Utah, alleging that MoneyApp's cash advance offering violates the federal Military Lending Act and Truth in Lending Act, due to MoneyApp offering its customers the option of expediting the receipt of their cash advances by paying a voluntary expediting fee.</w:t>
      </w:r>
    </w:p>
    <w:p>
      <w:pPr>
        <w:spacing w:after="0" w:line="2"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In November 2025, MoneyApp successfully removed the lawsuit to the federal District Court of Utah, Central Division. MoneyApp believes it has substantial defenses against the claims alleged in the lawsuit and intends to contest this matter vigorously.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REVENUE RECOGNITION</w:t>
      </w:r>
    </w:p>
    <w:p>
      <w:pPr>
        <w:spacing w:after="0" w:line="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generates revenue from multiple sources, including leasing arrangements (ASC 842), contracts with customers (ASC 606), and financing and fee income (ASC 310). Revenue is disaggregated below by source.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67" w:lineRule="exact"/>
        <w:rPr>
          <w:sz w:val="20"/>
          <w:szCs w:val="20"/>
          <w:color w:val="auto"/>
        </w:rPr>
      </w:pPr>
    </w:p>
    <w:p>
      <w:pPr>
        <w:ind w:right="200"/>
        <w:spacing w:after="0" w:line="231" w:lineRule="exact"/>
        <w:rPr>
          <w:sz w:val="20"/>
          <w:szCs w:val="20"/>
          <w:color w:val="auto"/>
        </w:rPr>
      </w:pPr>
      <w:r>
        <w:rPr>
          <w:rFonts w:ascii="Times New Roman" w:cs="Times New Roman" w:eastAsia="Times New Roman" w:hAnsi="Times New Roman"/>
          <w:sz w:val="18"/>
          <w:szCs w:val="18"/>
          <w:color w:val="auto"/>
        </w:rPr>
        <w:t>The Company disaggregates revenue based on the nature of its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 and the applicable accounting guidance, which management believes depicts how economic factors affect the amount, timing, and uncertainty of revenue and cash flows. Revenue is disaggregated by major revenue stream and accounting guidance, as presented in the table below, and by performance obligations, as management believes these categories depict how economic factors affect revenue and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3760" w:type="dxa"/>
            <w:vAlign w:val="bottom"/>
            <w:gridSpan w:val="3"/>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category</w:t>
            </w: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revenue pursuant to ASC 842</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Progressive Leasing operating lease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596,864</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651,557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596,864</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651,557</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service, and other revenue pursuant to ASC 606</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Purchasing Power product sales (principal)</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100,571</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Purchasing Power service revenue (agent)</w:t>
            </w:r>
          </w:p>
        </w:tc>
        <w:tc>
          <w:tcPr>
            <w:tcW w:w="500" w:type="dxa"/>
            <w:vAlign w:val="bottom"/>
          </w:tcPr>
          <w:p>
            <w:pPr>
              <w:spacing w:after="0"/>
              <w:rPr>
                <w:sz w:val="19"/>
                <w:szCs w:val="19"/>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5,835</w:t>
            </w:r>
          </w:p>
        </w:tc>
        <w:tc>
          <w:tcPr>
            <w:tcW w:w="5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 subscription fee and other service revenue</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10,521</w:t>
            </w:r>
          </w:p>
        </w:tc>
        <w:tc>
          <w:tcPr>
            <w:tcW w:w="5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service, and other revenue</w:t>
            </w:r>
          </w:p>
        </w:tc>
        <w:tc>
          <w:tcPr>
            <w:tcW w:w="500" w:type="dxa"/>
            <w:vAlign w:val="bottom"/>
          </w:tcPr>
          <w:p>
            <w:pPr>
              <w:spacing w:after="0"/>
              <w:rPr>
                <w:sz w:val="19"/>
                <w:szCs w:val="19"/>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116,927</w:t>
            </w:r>
          </w:p>
        </w:tc>
        <w:tc>
          <w:tcPr>
            <w:tcW w:w="5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and fee income pursuant to ASC 310</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Four and other operations financing revenue</w:t>
            </w:r>
          </w:p>
        </w:tc>
        <w:tc>
          <w:tcPr>
            <w:tcW w:w="500" w:type="dxa"/>
            <w:vAlign w:val="bottom"/>
          </w:tcPr>
          <w:p>
            <w:pPr>
              <w:spacing w:after="0"/>
              <w:rPr>
                <w:sz w:val="19"/>
                <w:szCs w:val="19"/>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28,154</w:t>
            </w:r>
          </w:p>
        </w:tc>
        <w:tc>
          <w:tcPr>
            <w:tcW w:w="5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Imputed interest income on Purchasing Power receivables</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729</w:t>
            </w:r>
          </w:p>
        </w:tc>
        <w:tc>
          <w:tcPr>
            <w:tcW w:w="5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and fee income</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28,883</w:t>
            </w: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742,674</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668,428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RESTRUCTURING EXPENSES</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2022, the Company initiated restructuring activities intended to reduce expenses, consolidate certain segment corporate headquarters, and align the cost structure of the business with the Company's near-term revenue outlook. The Company has incurred aggregate expenses of $48.4 million since the inception of the restructuring activities in 2022. These costs were primarily comprised of early contract termination costs, employee severance, a reduction of management and information technology space and impairment of capitalized software for our other strategic initiatives and products. 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spacing w:after="0" w:line="6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had no restructuring activities during the three months ended March 31, 2025. The following tables summarize restructuring charges recorded within operating expenses in the condensed consolidated statements of earnings for the three months ended March 31, 2026:</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Purchasing Power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Four</w:t>
            </w:r>
          </w:p>
        </w:tc>
        <w:tc>
          <w:tcPr>
            <w:tcW w:w="120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200" w:type="dxa"/>
            <w:vAlign w:val="bottom"/>
            <w:tcBorders>
              <w:bottom w:val="single" w:sz="8" w:color="auto"/>
            </w:tcBorders>
            <w:gridSpan w:val="2"/>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restructuring activities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accrual and payment activity related to the restructuring program for the three months ended March 31, 2026 and 2025:</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6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7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Early contract</w:t>
            </w:r>
          </w:p>
        </w:tc>
        <w:tc>
          <w:tcPr>
            <w:tcW w:w="19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3020" w:type="dxa"/>
            <w:vAlign w:val="bottom"/>
            <w:vMerge w:val="continue"/>
          </w:tcPr>
          <w:p>
            <w:pPr>
              <w:spacing w:after="0"/>
              <w:rPr>
                <w:sz w:val="16"/>
                <w:szCs w:val="16"/>
                <w:color w:val="auto"/>
              </w:rPr>
            </w:pPr>
          </w:p>
        </w:tc>
        <w:tc>
          <w:tcPr>
            <w:tcW w:w="3160" w:type="dxa"/>
            <w:vAlign w:val="bottom"/>
            <w:vMerge w:val="continue"/>
          </w:tcPr>
          <w:p>
            <w:pPr>
              <w:spacing w:after="0"/>
              <w:rPr>
                <w:sz w:val="16"/>
                <w:szCs w:val="16"/>
                <w:color w:val="auto"/>
              </w:rPr>
            </w:pPr>
          </w:p>
        </w:tc>
        <w:tc>
          <w:tcPr>
            <w:tcW w:w="17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termination costs</w:t>
            </w:r>
          </w:p>
        </w:tc>
        <w:tc>
          <w:tcPr>
            <w:tcW w:w="19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13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200" w:type="dxa"/>
            <w:vAlign w:val="bottom"/>
          </w:tcPr>
          <w:p>
            <w:pPr>
              <w:spacing w:after="0"/>
              <w:rPr>
                <w:sz w:val="24"/>
                <w:szCs w:val="24"/>
                <w:color w:val="auto"/>
              </w:rPr>
            </w:pPr>
          </w:p>
        </w:tc>
        <w:tc>
          <w:tcPr>
            <w:tcW w:w="14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Early contract</w:t>
            </w:r>
          </w:p>
        </w:tc>
        <w:tc>
          <w:tcPr>
            <w:tcW w:w="160" w:type="dxa"/>
            <w:vAlign w:val="bottom"/>
          </w:tcPr>
          <w:p>
            <w:pPr>
              <w:spacing w:after="0"/>
              <w:rPr>
                <w:sz w:val="24"/>
                <w:szCs w:val="24"/>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termination costs</w:t>
            </w: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has three reportable segments: Progressive Leasing, Purchasing Power and Four.</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Progressive Leasing partners with traditional and e-commerce retailers, mainly in the consumer residential electronics, furniture and appliance, mobile phones and accessories, jewelry, mattresses, and automobile electronics and accessories industries to offer a lease-purchase solution primarily for customers who may not have access to traditional credit-based financing options. It does so by offering leases with weekly, bi-weekly, semi-monthly and monthly payment frequencies.</w:t>
      </w:r>
    </w:p>
    <w:p>
      <w:pPr>
        <w:spacing w:after="0" w:line="5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Purchasing Power is a voluntary employee benefit program provider allowing employees of its employer-clients to purchase brand-name products and services from Purchasing Power and then pay for those purchases through either automatic payroll deductions or allotments. Millions of employees nationwide have access to Purchasing Power's purchasing options.</w:t>
      </w:r>
    </w:p>
    <w:p>
      <w:pPr>
        <w:spacing w:after="0" w:line="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Four is a buy-now, pay-later company that allows shoppers to pay for merchandise through four interest-free installments. As of December 31, 2025, Four was a reportable segment, as its financial results were considered significant to the Company's consolidated financial results. Prior year segment information has been recast for comparability to reflect Four as a reportable segment for the year ended December 31, 2025. For the periods prior to becoming a reportable segment, the revenues, loss before income taxes, and assets of Four were included within Other, along with the Company's other strategic initiatives.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Used by Management to Identify the Reportable Segments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are based on the operations of the Company that the chief operating decision maker ("CODM") regularly reviews to analyze performance and allocate resources among business units of the Company. The Company's CODM is its President and CEO.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Assets and Segment Profit or Loss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CODM evaluates operating segment performance and decides how to allocate resources based on segment revenues and earnings (loss) before income tax expense (benefit). The Company determines earnings (loss) before income tax expense (benefit) for all reportable segments in accordance with U.S. GAAP. The CODM uses this information to evaluate the profitability of the Company's reportable segments and make decisions on future business plans.</w:t>
      </w:r>
    </w:p>
    <w:p>
      <w:pPr>
        <w:spacing w:after="0" w:line="4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incurred various corporate overhead expenses for certain executive management, legal, human resources, finance, facilities, audit, risk management, technology, and other overhead functions during the three months ended March 31, 2026 and 2025. Corporate overhead expenses incurred are primarily reflected as expenses of Progressive Leasing, and to a lesser extent, Purchasing Power. An immaterial amount was allocated to Four, Purchasing Power, and our other strategic operations based on functional identification. The allocation of corporate overhead costs to Progressive Leasing, Purchasing Power, Four and Other was consistent with how the CODM analyzed performance and allocated resources among the segments of the Company.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total assets by segment: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1,093,179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1,444,367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Purchasing Power</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810,946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w:t>
            </w:r>
          </w:p>
        </w:tc>
        <w:tc>
          <w:tcPr>
            <w:tcW w:w="22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103,791</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22,106</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from continuing operations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2,030,022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1,596,858</w:t>
            </w:r>
          </w:p>
        </w:tc>
        <w:tc>
          <w:tcPr>
            <w:tcW w:w="0" w:type="dxa"/>
            <w:vAlign w:val="bottom"/>
          </w:tcPr>
          <w:p>
            <w:pPr>
              <w:spacing w:after="0"/>
              <w:rPr>
                <w:sz w:val="1"/>
                <w:szCs w:val="1"/>
                <w:color w:val="auto"/>
              </w:rPr>
            </w:pPr>
          </w:p>
        </w:tc>
      </w:tr>
      <w:tr>
        <w:trPr>
          <w:trHeight w:val="21"/>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capital expenditures by segment:</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Purchasing Power</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w:t>
            </w:r>
          </w:p>
        </w:tc>
        <w:tc>
          <w:tcPr>
            <w:tcW w:w="22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 from continuing operations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3,149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0" w:hanging="72"/>
        <w:spacing w:after="0"/>
        <w:tabs>
          <w:tab w:leader="none" w:pos="8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Capital expenditures primarily consists of internal-use software, as well as computer hardware and furniture and equipment.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summary of segment revenues, significant segment expenses, other segment items, and profit and loss information for the three months ended March 31, 2026 and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10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13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Purchasing Power</w:t>
            </w:r>
          </w:p>
        </w:tc>
        <w:tc>
          <w:tcPr>
            <w:tcW w:w="34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Four</w:t>
            </w:r>
          </w:p>
        </w:tc>
        <w:tc>
          <w:tcPr>
            <w:tcW w:w="500" w:type="dxa"/>
            <w:vAlign w:val="bottom"/>
          </w:tcPr>
          <w:p>
            <w:pPr>
              <w:spacing w:after="0"/>
              <w:rPr>
                <w:sz w:val="11"/>
                <w:szCs w:val="11"/>
                <w:color w:val="auto"/>
              </w:rPr>
            </w:pPr>
          </w:p>
        </w:tc>
        <w:tc>
          <w:tcPr>
            <w:tcW w:w="84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340" w:type="dxa"/>
            <w:vAlign w:val="bottom"/>
          </w:tcPr>
          <w:p>
            <w:pPr>
              <w:spacing w:after="0"/>
              <w:rPr>
                <w:sz w:val="11"/>
                <w:szCs w:val="11"/>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3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596,864</w:t>
            </w:r>
          </w:p>
        </w:tc>
        <w:tc>
          <w:tcPr>
            <w:tcW w:w="3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596,864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and service revenues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106,406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106,406</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34,967</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3,708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39,404</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596,864</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107,135</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34,967</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3,708</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742,674</w:t>
            </w: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Significant segment expenses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1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409,010</w:t>
            </w:r>
          </w:p>
        </w:tc>
        <w:tc>
          <w:tcPr>
            <w:tcW w:w="3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409,010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62,506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62,506</w:t>
            </w:r>
          </w:p>
        </w:tc>
        <w:tc>
          <w:tcPr>
            <w:tcW w:w="0" w:type="dxa"/>
            <w:vAlign w:val="bottom"/>
          </w:tcPr>
          <w:p>
            <w:pPr>
              <w:spacing w:after="0"/>
              <w:rPr>
                <w:sz w:val="1"/>
                <w:szCs w:val="1"/>
                <w:color w:val="auto"/>
              </w:rPr>
            </w:pPr>
          </w:p>
        </w:tc>
      </w:tr>
      <w:tr>
        <w:trPr>
          <w:trHeight w:val="229"/>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1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43,651</w:t>
            </w:r>
          </w:p>
        </w:tc>
        <w:tc>
          <w:tcPr>
            <w:tcW w:w="3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81,260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28,385</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12,654</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9,879</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132,178</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12,961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9,597</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533,921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103,852</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22,251</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11,488</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671,512</w:t>
            </w: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5,311</w:t>
            </w:r>
          </w:p>
        </w:tc>
        <w:tc>
          <w:tcPr>
            <w:tcW w:w="3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8,085</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5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3,343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lease receivables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3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change in fair value of receivables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230"/>
        </w:trPr>
        <w:tc>
          <w:tcPr>
            <w:tcW w:w="47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12,099</w:t>
            </w:r>
          </w:p>
        </w:tc>
        <w:tc>
          <w:tcPr>
            <w:tcW w:w="3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5,214</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1,073</w:t>
            </w:r>
          </w:p>
        </w:tc>
        <w:tc>
          <w:tcPr>
            <w:tcW w:w="5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10,983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10,783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1,326</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507</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51,960</w:t>
            </w:r>
          </w:p>
        </w:tc>
        <w:tc>
          <w:tcPr>
            <w:tcW w:w="3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11,390</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55" w:lineRule="exact"/>
        <w:rPr>
          <w:rFonts w:ascii="Times New Roman" w:cs="Times New Roman" w:eastAsia="Times New Roman" w:hAnsi="Times New Roman"/>
          <w:sz w:val="19"/>
          <w:szCs w:val="19"/>
          <w:color w:val="auto"/>
          <w:vertAlign w:val="superscript"/>
        </w:rPr>
      </w:pPr>
    </w:p>
    <w:p>
      <w:pPr>
        <w:ind w:right="3960"/>
        <w:spacing w:after="0" w:line="375"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Excludes depreciation of lease merchandise, which is not included in the CODM's measure of depreciation and amortization.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Intersegment interest income and expense of $2.2 million are included within the amounts shown.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080" w:type="dxa"/>
            <w:vAlign w:val="bottom"/>
          </w:tcPr>
          <w:p>
            <w:pPr>
              <w:jc w:val="right"/>
              <w:ind w:right="212"/>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Purchasing Power</w:t>
            </w:r>
          </w:p>
        </w:tc>
        <w:tc>
          <w:tcPr>
            <w:tcW w:w="360" w:type="dxa"/>
            <w:vAlign w:val="bottom"/>
          </w:tcPr>
          <w:p>
            <w:pPr>
              <w:spacing w:after="0"/>
              <w:rPr>
                <w:sz w:val="11"/>
                <w:szCs w:val="11"/>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Four</w:t>
            </w:r>
          </w:p>
        </w:tc>
        <w:tc>
          <w:tcPr>
            <w:tcW w:w="500" w:type="dxa"/>
            <w:vAlign w:val="bottom"/>
          </w:tcPr>
          <w:p>
            <w:pPr>
              <w:spacing w:after="0"/>
              <w:rPr>
                <w:sz w:val="11"/>
                <w:szCs w:val="11"/>
                <w:color w:val="auto"/>
              </w:rPr>
            </w:pPr>
          </w:p>
        </w:tc>
        <w:tc>
          <w:tcPr>
            <w:tcW w:w="8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1"/>
                <w:szCs w:val="11"/>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300" w:type="dxa"/>
            <w:vAlign w:val="bottom"/>
            <w:tcBorders>
              <w:bottom w:val="single" w:sz="8" w:color="auto"/>
            </w:tcBorders>
            <w:gridSpan w:val="2"/>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651,557</w:t>
            </w:r>
          </w:p>
        </w:tc>
        <w:tc>
          <w:tcPr>
            <w:tcW w:w="5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651,557</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2,442</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651,557</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2,442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668,428</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Significant segment expenses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460,443</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460,443</w:t>
            </w:r>
          </w:p>
        </w:tc>
        <w:tc>
          <w:tcPr>
            <w:tcW w:w="0" w:type="dxa"/>
            <w:vAlign w:val="bottom"/>
          </w:tcPr>
          <w:p>
            <w:pPr>
              <w:spacing w:after="0"/>
              <w:rPr>
                <w:sz w:val="1"/>
                <w:szCs w:val="1"/>
                <w:color w:val="auto"/>
              </w:rPr>
            </w:pPr>
          </w:p>
        </w:tc>
      </w:tr>
      <w:tr>
        <w:trPr>
          <w:trHeight w:val="229"/>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1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48,018</w:t>
            </w:r>
          </w:p>
        </w:tc>
        <w:tc>
          <w:tcPr>
            <w:tcW w:w="500" w:type="dxa"/>
            <w:vAlign w:val="bottom"/>
          </w:tcPr>
          <w:p>
            <w:pPr>
              <w:spacing w:after="0"/>
              <w:rPr>
                <w:sz w:val="19"/>
                <w:szCs w:val="19"/>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48,018</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82,180</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92,149</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590,641</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4,636</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606,111</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5,128</w:t>
            </w:r>
          </w:p>
        </w:tc>
        <w:tc>
          <w:tcPr>
            <w:tcW w:w="500" w:type="dxa"/>
            <w:vAlign w:val="bottom"/>
          </w:tcPr>
          <w:p>
            <w:pPr>
              <w:spacing w:after="0"/>
              <w:rPr>
                <w:sz w:val="19"/>
                <w:szCs w:val="19"/>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9,964</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12,291</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1,149</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48,625</w:t>
            </w:r>
          </w:p>
        </w:tc>
        <w:tc>
          <w:tcPr>
            <w:tcW w:w="5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hanging="72"/>
        <w:spacing w:after="0"/>
        <w:tabs>
          <w:tab w:leader="none" w:pos="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65" w:lineRule="exact"/>
        <w:rPr>
          <w:rFonts w:ascii="Times New Roman" w:cs="Times New Roman" w:eastAsia="Times New Roman" w:hAnsi="Times New Roman"/>
          <w:sz w:val="9"/>
          <w:szCs w:val="9"/>
          <w:color w:val="auto"/>
        </w:rPr>
      </w:pPr>
    </w:p>
    <w:p>
      <w:pPr>
        <w:ind w:right="3880"/>
        <w:spacing w:after="0" w:line="400"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Excludes depreciation of lease merchandise, which is not included in the CODM's measure of depreciation and amortization.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Intersegment interest income and expense of $2.1 million are included within the amounts shown.</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"delivering," "driving," "advancing,"</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"expectation," "target," "uncertainty," "outlook," "assumes"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2025 (the "2025 Annual Report") and in this Quarterly Report on Form 10-Q for the quarter ended March 31, 2026. Except as required by law, the Company undertakes no obligation to update these forward-looking statements to reflect subsequent events or circumstances after the filing date of this Quarterly Report.</w:t>
      </w:r>
    </w:p>
    <w:p>
      <w:pPr>
        <w:spacing w:after="0" w:line="6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as of and for the three months ended March 31, 2026 and 2025,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2025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transparent and competitive payment options to consumers. PROG Holdings has three reportable segments as of March 31, 2026: (i) Progressive Leasing, an in-store, app-based, and e-commerce point-of-sale lease-to-own solutions provider; (ii) Purchasing Power, a voluntary employee benefit program provider, allowing employees to purchase brand-name products and services from Purchasing Power and then pay for those purchases through either automatic payroll deductions or allotments; and (iii) Four Technologies, Inc. ("Four"), which offers Buy Now, Pay Later ("BNPL") payment options to consumers through the Four platform.</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Vive Financial ("Vive"), an omnichannel provider of second-look revolving credit products, had been an operating segment prior to October 20, 2025. On that date, the Company sold substantially all of Vive's loan receivables portfolio and began the process of discontinuing its remaining operations. Vive is reported as discontinued operations in our condensed consolidated financial statements for all periods presented. All of Vive's revenues and expenses, other than allocated corporate overhead, are excluded from the results of continuing operations.</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(collectively, "POS partners"), as well as through its direct-to-consumer app, PROG Marketplace.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Purchasing Power segment is a voluntary employee benefit program that allows employees of participating employer-clients to purchase brand-name products and services and pay for those purchases over time through payroll deductions or allotments. Products available through the platform include consumer electronics, home goods, furniture, appliances, and other merchandise, as well as certain services. Millions of employees nationwide have access to Purchasing Power's purchasing solutions. We acquired Purchasing Power on January 2, 2026, and its results are included in our condensed consolidated financial statements beginning on the acquisition date.</w:t>
      </w:r>
    </w:p>
    <w:p>
      <w:pPr>
        <w:spacing w:after="0" w:line="4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Four allows shoppers to pay for merchandise through four interest-free installments. Four's proprietary platform capabilities and its base of customers and retailers expand and diversify PROG Holdings' ecosystem of financial technology offerings by introducing another payment solution to its customers. Shoppers use Four to purchase furniture, clothing, electronics, health and beauty products, footwear, jewelry, and other consumer goods from retailers across the United States. The average ticket size of a Four transaction is significantly smaller than a transaction with Progressive Leasing or Purchasing Power.</w:t>
      </w:r>
    </w:p>
    <w:p>
      <w:pPr>
        <w:spacing w:after="0" w:line="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PROG Holdings also owns MoneyApp, a mobile application that offers customers interest-free cash advances. MoneyApp is not a reportable segment in 2026 as its financial results are not expected to be significant to the Company's condensed consolidated financial results. MoneyApp's financial results are reported within "Other" for segment reporting purposes.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Acquisition of Purchasing Power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2026, we completed the acquisition of Purchasing Power for $424.2 million in cash. In addition, Purchasing Power had approximately</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$338.6 million of non-recourse funding debt that remained in place following the closing of the acquisition. The results of Purchasing Power are included in our condensed consolidated financial statements beginning on the acquisition date. Results for periods prior to the acquisition date are not included in this MD&amp;A. See Note 2 of the condensed consolidated financial statements for additional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Business Environment</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the increased cost of living and recent rise in fuel costs has continued to have a disproportionate negative effect on our customers' disposable income, negatively affecting demand for many products offered by our businesses, as well as in customer payment performance. We believe the significant increase in inflation resulting from the war in Iran and related geopolitical disruption has further pressured our customers' budgets and unfavorably impacted consumer confidence within our customer base, resulting in a decrease in demand for the types of larger-ticket, durable consumer goods offered by many of our retail partners and by our Purchasing Power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Progressive Leasing</w:t>
      </w:r>
    </w:p>
    <w:p>
      <w:pPr>
        <w:spacing w:after="0" w:line="1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Progressive Leasing entered 2026 with a smaller lease portfolio, as measured by its gross leased asset balance, compared to 2025, which resulted in a decrease in lease revenues when compared to the first quarter of 2025. The Company continues to operate in a challenging macroeconomic environment due to the factors described above. In addition, American Signature, Inc., one of Progressive Leasing's POS partners, filed for bankruptcy in November 2025, which will result in the permanent closure of many of its stores in 2026, which has had and will continue to have an unfavorable impact on Progressive Leasing's GMV, revenue, and earnings from continuing operations before income tax in 2026.</w:t>
      </w:r>
    </w:p>
    <w:p>
      <w:pPr>
        <w:spacing w:after="0" w:line="62"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Customer payment delinquencies were elevated at the end of 2024 and during the first quarter of 2025, which prompted us to tighten our decisioning posture to maintain a healthy lease portfolio during the quarter ended March 31, 2025. That tighter decisioning posture remained in place during the full first quarter of 2026. While that action benefited our lease portfolio performance and helped us achieve a provision for lease merchandise write-offs of</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7.3% of lease revenues in the first quarter of 2026, it also had an unfavorable impact on Progressive Leasing's GMV during the periods subsequent to the change.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Power</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customer demand for the larger-ticket products and services sold by Purchasing Power also has been adversely impacted by the macroeconomic headwinds affecting Progressive Leasing's performance. However, we expect that Purchasing Power's recent focus on improving eligible employee-customer penetration, and its addition of several new employer-clients, will help offset the impacts of such decreases in demand.</w:t>
      </w:r>
    </w:p>
    <w:p>
      <w:pPr>
        <w:spacing w:after="0" w:line="5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While customer payment delinquencies and write-offs for Purchasing Power are generally lower than those of Progressive Leasing due to Purchasing Power's payroll deduction and allotment repayment model, the recent federal government workforce disruptions, including DOGE workforce reductions and multiple government shutdowns, have resulted in elevated delinquencies and write-offs with Purchasing Power's current and former federal government employee-customers. We continue to monitor these conditions, as well as any potential additional layoffs impacting Purchasing Power's customers, as prolonged fiscal uncertainty at the federal government level or such layoffs could pose additional risk to Purchasing Power's receivables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w:t>
      </w:r>
    </w:p>
    <w:p>
      <w:pPr>
        <w:spacing w:after="0" w:line="10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Due to the average ticket size of a BNPL transaction with Four being significantly lower than a transaction with Progressive Leasing and Purchasing Power, we believe demand for products purchased through the use of Four is not as impacted by the macroeconomic headwinds discussed above to the same degree as demand for larger-ticket products.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financial highlights from the three months ended March 31, 2026:</w:t>
      </w:r>
    </w:p>
    <w:p>
      <w:pPr>
        <w:spacing w:after="0" w:line="90" w:lineRule="exact"/>
        <w:rPr>
          <w:sz w:val="20"/>
          <w:szCs w:val="20"/>
          <w:color w:val="auto"/>
        </w:rPr>
      </w:pPr>
    </w:p>
    <w:p>
      <w:pPr>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consolidated revenues of $742.7 million, which was an 11.1% increase compared to the $668.4 million we reported for the first quarter of 2025. The increase in consolidated revenues was primarily due to the $107.1 million of total revenues contributed by Purchasing Power, which we acquired on January 2, 2026. Additionally, revenues at Four increased by $20.5 million due to continued growth in BNPL transactions at Four. These increases were offset by a $54.7 million decrease in revenue at Progressive Leasing, which was driven primarily by a smaller gross leased asset balance throughout the first quarter of 2026 when compared to the same period in the prior year.</w:t>
      </w:r>
    </w:p>
    <w:p>
      <w:pPr>
        <w:spacing w:after="0" w:line="61"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GMV from Four increased by $160.1 million, due to an increase in Four loan originations in the first quarter of 2026 compared to the first quarter of 2025, as a result of the continued growth in that business. GMV decreased by $9.0 million for Progressive Leasing in the first quarter of 2026, compared to the same period in the prior year. The decrease in GMV for Progressive Leasing was due to several factors, including the tightening of our decisioning posture, which was reflected for the full first quarter in 2026 compared to only a portion of the first quarter in 2025. We believe the reduction in GMV was also driven by inflationary pressures, elevated cost of living and fuel costs, and an uncertain macroeconomic outlook, all of which have negatively impacted consumer confidence and demand for our lease-to-own offering. GMV relating to Purchasing Power was included for the first time, as the acquisition was completed on January 2, 2026.</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660" w:right="240" w:hanging="328"/>
        <w:spacing w:after="0" w:line="266"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Earnings from continuing operations before income taxes increased to $47.6 million compared to $47.3 million in the same period in 2025. The increase was primarily driven by increased earnings at Four and Progressive Leasing, partially offset by higher interest expense and transaction expenses relating to the acquisition of Purchasing Power during the quarter.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06"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Gross Merchandise Volume</w:t>
      </w:r>
      <w:r>
        <w:rPr>
          <w:rFonts w:ascii="Times New Roman" w:cs="Times New Roman" w:eastAsia="Times New Roman" w:hAnsi="Times New Roman"/>
          <w:sz w:val="18"/>
          <w:szCs w:val="18"/>
          <w:color w:val="auto"/>
        </w:rPr>
        <w:t>. We believe GMV is a key performance indicator of our Progressive Leasing, Purchasing Power and Four segments, as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the total value of new leases, transaction orders, and loans written into our portfolio over a specified time period. GMV does not represent revenues earned by the Company, but rather is a leading indicator we use in forecasting revenues the Company may earn. Progressive Leasing's GMV is defined as the retail price of merchandise acquired by Progressive Leasing, which it then expects to lease to its customers. GMV for Purchasing Power is defined as the total value of merchandise and services purchased and delivered to customers through its platform. GMV for Four is defined as gross loan originations.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GMV from continuing operations for the Company for the periods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in thousands)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392,970</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401,962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(8,992)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Purchasing Power</w:t>
            </w:r>
          </w:p>
        </w:tc>
        <w:tc>
          <w:tcPr>
            <w:tcW w:w="34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132,678</w:t>
            </w:r>
          </w:p>
        </w:tc>
        <w:tc>
          <w:tcPr>
            <w:tcW w:w="6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2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132,678</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279,990</w:t>
            </w:r>
          </w:p>
        </w:tc>
        <w:tc>
          <w:tcPr>
            <w:tcW w:w="6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119,863</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160,127</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805,638</w:t>
            </w:r>
          </w:p>
        </w:tc>
        <w:tc>
          <w:tcPr>
            <w:tcW w:w="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521,825</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283,813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 - calculation is not meaningful</w:t>
      </w:r>
    </w:p>
    <w:p>
      <w:pPr>
        <w:spacing w:after="0" w:line="1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Progressive Leasing's GMV decreased compared to the first quarter of 2025 due to a lower gross leased asset balance resulting from tightened decisioning in 2025 and retail partner bankruptcies. We believe the reduction in GMV was also driven by inflationary pressures, an elevated cost of living, and an uncertain macroeconomic outlook, all of which have negatively impacted consumer confidence and demand for our lease-to-own offering. E-commerce channels generated 25.7% of Progressive Leasing's GMV in the first quarter of 2026 compared to 16.8% in the first quarter of 2025. The increase in Four's GMV is primarily attributable to the continued expansion of the Four BNPL platform, reflecting growth and higher transaction volumes from existing and new customers over the period.</w:t>
      </w:r>
    </w:p>
    <w:p>
      <w:pPr>
        <w:spacing w:after="0" w:line="64"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Active Customer Count. </w:t>
      </w:r>
      <w:r>
        <w:rPr>
          <w:rFonts w:ascii="Times New Roman" w:cs="Times New Roman" w:eastAsia="Times New Roman" w:hAnsi="Times New Roman"/>
          <w:sz w:val="18"/>
          <w:szCs w:val="18"/>
          <w:color w:val="auto"/>
        </w:rPr>
        <w:t>Our active customer count represents the total number of customers that have an active lease agreement with Progressive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active receivable with Purchasing Power, or an active loan with Four. Active customer counts include customers that may have an active agreement with more than one segment. The following table presents our active customer count from continuing operations for each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(unaudited and in thousands)</w:t>
            </w:r>
          </w:p>
        </w:tc>
        <w:tc>
          <w:tcPr>
            <w:tcW w:w="3600" w:type="dxa"/>
            <w:vAlign w:val="bottom"/>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Active customer count from continuing operations:</w:t>
            </w:r>
          </w:p>
        </w:tc>
        <w:tc>
          <w:tcPr>
            <w:tcW w:w="36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Progressive Leasing</w:t>
            </w:r>
          </w:p>
        </w:tc>
        <w:tc>
          <w:tcPr>
            <w:tcW w:w="36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763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0"/>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Purchasing Power</w:t>
            </w:r>
          </w:p>
        </w:tc>
        <w:tc>
          <w:tcPr>
            <w:tcW w:w="36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263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Four</w:t>
            </w:r>
          </w:p>
        </w:tc>
        <w:tc>
          <w:tcPr>
            <w:tcW w:w="36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350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number of active customers for Progressive Leasing decreased due to the tightening of our decisioning posture, and a decrease in consumer demand for many of the durable leasable goods offered by our retail partners, due to the continued elevated costs of living and inflationary pressures facing our customers. The increase in the number of customers for Four was the result of continued growth in BNPL transactions, which have a significantly smaller transaction size, as compared to our Progressive Leasing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Key Components of Earnings from Continuing Operations Before Income Tax Expense</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this MD&amp;A section, we discuss the key components of our condensed consolidated results. For the three months ended March 31, 2026 and the comparable prior year periods, some of the key revenue, cost and expense items that affected earnings before income taxes were as follows:</w:t>
      </w:r>
    </w:p>
    <w:p>
      <w:pPr>
        <w:spacing w:after="0" w:line="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separate our total revenues into three components: (i) lease revenues and fees, (ii) product and service revenues and (iii) other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revenues and fees include all revenues derived from lease agreements from our Progressive Leasing segment. Lease revenues are recorded net of a provision for uncollectible renewal payments. Product and service revenues represent Purchasing Power's sales of products and the commission earned relating to arranging for services, net of estimated returns. Other revenues represents transaction income, subscription revenues, and annual and other fees earned relating to loans in our Four segment and our other strategic businesses, as well as imputed interest income recognized on a portion of Purchasing Power's receivables portfolio.</w:t>
      </w:r>
    </w:p>
    <w:p>
      <w:pPr>
        <w:spacing w:after="0" w:line="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reflects the expense associated with depreciating merchandise leased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Progressive Leasing.</w:t>
      </w:r>
    </w:p>
    <w:p>
      <w:pPr>
        <w:spacing w:after="0" w:line="1" w:lineRule="exact"/>
        <w:rPr>
          <w:sz w:val="20"/>
          <w:szCs w:val="20"/>
          <w:color w:val="auto"/>
        </w:rPr>
      </w:pPr>
    </w:p>
    <w:p>
      <w:pPr>
        <w:ind w:right="140"/>
        <w:spacing w:after="0" w:line="245" w:lineRule="exact"/>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242424"/>
        </w:rPr>
        <w:t>Cost of product sales represents the cost of merchandise purchased by Purchasing Power from third</w:t>
      </w:r>
      <w:r>
        <w:rPr>
          <w:rFonts w:ascii="MS PGothic" w:cs="MS PGothic" w:eastAsia="MS PGothic" w:hAnsi="MS PGothic"/>
          <w:sz w:val="18"/>
          <w:szCs w:val="18"/>
          <w:color w:val="242424"/>
        </w:rPr>
        <w:t>‑</w:t>
      </w:r>
      <w:r>
        <w:rPr>
          <w:rFonts w:ascii="Times New Roman" w:cs="Times New Roman" w:eastAsia="Times New Roman" w:hAnsi="Times New Roman"/>
          <w:sz w:val="18"/>
          <w:szCs w:val="18"/>
          <w:color w:val="242424"/>
        </w:rPr>
        <w:t>party vendors for resale, along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42424"/>
        </w:rPr>
        <w:t>with associated fulfillment and distribution costs.</w:t>
      </w:r>
    </w:p>
    <w:p>
      <w:pPr>
        <w:spacing w:after="0" w:line="6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lease merchandise write-offs. </w:t>
      </w:r>
      <w:r>
        <w:rPr>
          <w:rFonts w:ascii="Times New Roman" w:cs="Times New Roman" w:eastAsia="Times New Roman" w:hAnsi="Times New Roman"/>
          <w:sz w:val="18"/>
          <w:szCs w:val="18"/>
          <w:color w:val="auto"/>
        </w:rPr>
        <w:t>The provision for lease merchandise write-offs represents the estimated merchandise losses incurred but not yet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by management and adjustments for changes in estimates for the allowance for lease merchandise write-offs.</w:t>
      </w:r>
    </w:p>
    <w:p>
      <w:pPr>
        <w:spacing w:after="0" w:line="3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include primarily personnel costs, stock-based compensation, occupancy costs, advertising, decisioning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services expense, sales acquisition costs, computer software expense, bank charges and processing fees, fixed asset depreciation expense, intangible amortization expense, and restructuring expenses, among other expenses.</w:t>
      </w:r>
    </w:p>
    <w:p>
      <w:pPr>
        <w:spacing w:after="0" w:line="5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The provision for credit losses reflects the expected lifetime credit losses on Purchasing Power's, Four's and other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receivables, determined using the CECL framework and incorporating historical loss experience, current conditions, and reasonable and supportable forecasts. The provision for credit losses on Purchasing Power's receivables are net of estimated recoveries from its program of selling portfolios of charged-off receivables to third parties.</w:t>
      </w:r>
    </w:p>
    <w:p>
      <w:pPr>
        <w:spacing w:after="0" w:line="45" w:lineRule="exact"/>
        <w:rPr>
          <w:sz w:val="20"/>
          <w:szCs w:val="20"/>
          <w:color w:val="auto"/>
        </w:rPr>
      </w:pPr>
    </w:p>
    <w:p>
      <w:pPr>
        <w:ind w:right="660"/>
        <w:spacing w:after="0" w:line="240" w:lineRule="exact"/>
        <w:rPr>
          <w:sz w:val="20"/>
          <w:szCs w:val="20"/>
          <w:color w:val="auto"/>
        </w:rPr>
      </w:pPr>
      <w:r>
        <w:rPr>
          <w:rFonts w:ascii="Times New Roman" w:cs="Times New Roman" w:eastAsia="Times New Roman" w:hAnsi="Times New Roman"/>
          <w:sz w:val="18"/>
          <w:szCs w:val="18"/>
          <w:i w:val="1"/>
          <w:iCs w:val="1"/>
          <w:color w:val="auto"/>
        </w:rPr>
        <w:t>Gain on sale of lease receivables</w:t>
      </w:r>
      <w:r>
        <w:rPr>
          <w:rFonts w:ascii="Times New Roman" w:cs="Times New Roman" w:eastAsia="Times New Roman" w:hAnsi="Times New Roman"/>
          <w:sz w:val="18"/>
          <w:szCs w:val="18"/>
          <w:color w:val="auto"/>
        </w:rPr>
        <w:t>. Gain on sale of lease receivables reflects income recognized by Progressive Leasing from its program of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portfolios of charged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lease receivables to third-parties.</w:t>
      </w:r>
    </w:p>
    <w:p>
      <w:pPr>
        <w:spacing w:after="0" w:line="4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Gain on change in fair value of receivables</w:t>
      </w:r>
      <w:r>
        <w:rPr>
          <w:rFonts w:ascii="Times New Roman" w:cs="Times New Roman" w:eastAsia="Times New Roman" w:hAnsi="Times New Roman"/>
          <w:sz w:val="18"/>
          <w:szCs w:val="18"/>
          <w:color w:val="auto"/>
        </w:rPr>
        <w:t>. Receivables associated with the Purchasing Power acquired portfolio are measured at fair value on a 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pursuant to the Company's election of the fair value option under ASC 825. Changes in fair value attributable to the passage of time, credit performance, discount rates, and other assumptions, are recognized as a gain or loss on changes in fair value of the receivables.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incurred on the Company's 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interest earned on the Company's deposits in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and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596,864</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651,557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(54,693)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and service 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106,406</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106,406</w:t>
            </w:r>
          </w:p>
        </w:tc>
        <w:tc>
          <w:tcPr>
            <w:tcW w:w="10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39,404</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16,871</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22,533</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742,674</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668,428</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74,246</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409,010</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460,443</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(51,433)</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62,506</w:t>
            </w:r>
          </w:p>
        </w:tc>
        <w:tc>
          <w:tcPr>
            <w:tcW w:w="6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62,506</w:t>
            </w: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43,651</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48,018</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(4,367)</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150,200</w:t>
            </w:r>
          </w:p>
        </w:tc>
        <w:tc>
          <w:tcPr>
            <w:tcW w:w="6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98,124</w:t>
            </w:r>
          </w:p>
        </w:tc>
        <w:tc>
          <w:tcPr>
            <w:tcW w:w="420" w:type="dxa"/>
            <w:vAlign w:val="bottom"/>
          </w:tcPr>
          <w:p>
            <w:pPr>
              <w:spacing w:after="0"/>
              <w:rPr>
                <w:sz w:val="19"/>
                <w:szCs w:val="19"/>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52,076</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24,167</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5,501</w:t>
            </w: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18,666</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689,534</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612,086</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77,448</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lease receivables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6,457</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6,457</w:t>
            </w:r>
          </w:p>
        </w:tc>
        <w:tc>
          <w:tcPr>
            <w:tcW w:w="10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Gain on change in fair value of receivables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5,712</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5,712</w:t>
            </w:r>
          </w:p>
        </w:tc>
        <w:tc>
          <w:tcPr>
            <w:tcW w:w="10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65,309</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56,342</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8,967</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420" w:type="dxa"/>
            <w:vAlign w:val="bottom"/>
          </w:tcPr>
          <w:p>
            <w:pPr>
              <w:spacing w:after="0"/>
              <w:rPr>
                <w:sz w:val="19"/>
                <w:szCs w:val="19"/>
                <w:color w:val="auto"/>
              </w:rPr>
            </w:pPr>
          </w:p>
        </w:tc>
        <w:tc>
          <w:tcPr>
            <w:tcW w:w="15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(8,426)</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643</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873</w:t>
            </w: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(230)</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 before income tax expense</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47,563</w:t>
            </w:r>
          </w:p>
        </w:tc>
        <w:tc>
          <w:tcPr>
            <w:tcW w:w="6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47,252</w:t>
            </w:r>
          </w:p>
        </w:tc>
        <w:tc>
          <w:tcPr>
            <w:tcW w:w="420" w:type="dxa"/>
            <w:vAlign w:val="bottom"/>
          </w:tcPr>
          <w:p>
            <w:pPr>
              <w:spacing w:after="0"/>
              <w:rPr>
                <w:sz w:val="19"/>
                <w:szCs w:val="19"/>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11,345</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12,662</w:t>
            </w: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(1,317)</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from continuing operations</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36,218</w:t>
            </w:r>
          </w:p>
        </w:tc>
        <w:tc>
          <w:tcPr>
            <w:tcW w:w="6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34,590</w:t>
            </w:r>
          </w:p>
        </w:tc>
        <w:tc>
          <w:tcPr>
            <w:tcW w:w="420" w:type="dxa"/>
            <w:vAlign w:val="bottom"/>
          </w:tcPr>
          <w:p>
            <w:pPr>
              <w:spacing w:after="0"/>
              <w:rPr>
                <w:sz w:val="19"/>
                <w:szCs w:val="19"/>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1,628</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from discontinued operations,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(292)</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36,054</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34,718</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1,336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nmf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Calculation is not meaningful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from Continuing Operations Before 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(loss) from continuing operations before income tax expense by reportable segment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3"/>
                <w:szCs w:val="13"/>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income tax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51,960</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48,625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3,335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Purchasing Power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(7,500)</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(7,500)</w:t>
            </w:r>
          </w:p>
        </w:tc>
        <w:tc>
          <w:tcPr>
            <w:tcW w:w="10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w:t>
            </w:r>
          </w:p>
        </w:tc>
        <w:tc>
          <w:tcPr>
            <w:tcW w:w="340" w:type="dxa"/>
            <w:vAlign w:val="bottom"/>
          </w:tcPr>
          <w:p>
            <w:pPr>
              <w:spacing w:after="0"/>
              <w:rPr>
                <w:sz w:val="19"/>
                <w:szCs w:val="19"/>
                <w:color w:val="auto"/>
              </w:rPr>
            </w:pPr>
          </w:p>
        </w:tc>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11,390</w:t>
            </w:r>
          </w:p>
        </w:tc>
        <w:tc>
          <w:tcPr>
            <w:tcW w:w="6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1,970</w:t>
            </w:r>
          </w:p>
        </w:tc>
        <w:tc>
          <w:tcPr>
            <w:tcW w:w="420" w:type="dxa"/>
            <w:vAlign w:val="bottom"/>
          </w:tcPr>
          <w:p>
            <w:pPr>
              <w:spacing w:after="0"/>
              <w:rPr>
                <w:sz w:val="19"/>
                <w:szCs w:val="19"/>
                <w:color w:val="auto"/>
              </w:rPr>
            </w:pPr>
          </w:p>
        </w:tc>
        <w:tc>
          <w:tcPr>
            <w:tcW w:w="15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9,420</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478.2</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(8,287)</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(4,944)</w:t>
            </w: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earnings (loss) before income tax expense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47,563</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47,252</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 - Calculation is not meaningful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Progressive Leasing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of revenue</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of revenue</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merchandise volume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392,970</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401,962</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(8,992)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revenues and fees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596,864</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651,557</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(54,693)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409,010</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460,443</w:t>
            </w: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(51,433)</w:t>
            </w: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(3,260)</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43,651</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48,018</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(4,367)</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81,260</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Pr>
          <w:p>
            <w:pPr>
              <w:spacing w:after="0"/>
              <w:rPr>
                <w:sz w:val="19"/>
                <w:szCs w:val="19"/>
                <w:color w:val="auto"/>
              </w:rPr>
            </w:pPr>
          </w:p>
        </w:tc>
        <w:tc>
          <w:tcPr>
            <w:tcW w:w="15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(920)</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709</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130,748</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135,326</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tcPr>
          <w:p>
            <w:pPr>
              <w:spacing w:after="0"/>
              <w:rPr>
                <w:sz w:val="19"/>
                <w:szCs w:val="19"/>
                <w:color w:val="auto"/>
              </w:rPr>
            </w:pPr>
          </w:p>
        </w:tc>
        <w:tc>
          <w:tcPr>
            <w:tcW w:w="15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(4,578)</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lease receivables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6,457</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63,563</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55,788</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Pr>
          <w:p>
            <w:pPr>
              <w:spacing w:after="0"/>
              <w:rPr>
                <w:sz w:val="19"/>
                <w:szCs w:val="19"/>
                <w:color w:val="auto"/>
              </w:rPr>
            </w:pPr>
          </w:p>
        </w:tc>
        <w:tc>
          <w:tcPr>
            <w:tcW w:w="15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7,775</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4,440</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156"/>
        </w:trPr>
        <w:tc>
          <w:tcPr>
            <w:tcW w:w="3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Earnings from continuing operations before</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51,960</w:t>
            </w: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48,625</w:t>
            </w: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ind w:right="553"/>
              <w:spacing w:after="0"/>
              <w:rPr>
                <w:sz w:val="20"/>
                <w:szCs w:val="20"/>
                <w:color w:val="auto"/>
              </w:rPr>
            </w:pPr>
            <w:r>
              <w:rPr>
                <w:rFonts w:ascii="Times New Roman" w:cs="Times New Roman" w:eastAsia="Times New Roman" w:hAnsi="Times New Roman"/>
                <w:sz w:val="18"/>
                <w:szCs w:val="18"/>
                <w:color w:val="auto"/>
              </w:rPr>
              <w:t>3,335</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nmf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Calculation is not meaningful</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decrease in leasing revenues was primarily due to a lower gross leased asset balance as a result of the tightening of our decisioning posture during 2025, and a decrease in demand for the durable leasable products offered by many of our retail partners. We believe the inflationary and other macroeconomic factors had a disproportionate negative effect on our customers' disposable income, negatively affecting demand for many products offered by our retail partners.</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Gross margin is a key performance measure for our Progressive Leasing segment, which generates lease revenue from transactions that include associated depreciation of the merchandise on lease, making gross margin a meaningful indicator of profit. The increase in Progressive Leasing's gross margin percentage reflects a decline in customers' electing early purchase options, as macroeconomic conditions contributed to customers choosing to extend lease terms rather than exercising early purchase options, which generally result in lower margin realization.</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provision for lease merchandise write-offs decreased $4.4 million compared to the same period in 2025. The provision for lease merchandise write-offs as a percentage of lease revenues decreased to 7.3% during the first quarter of 2026 from 7.4% in the same period in 2025. The decrease was due to a tighter decisioning posture in 2026 as compared to the same period in 2025, as the Company tightened its decisioning during the first quarter of 2025. Given the significant uncertainty regarding the impacts of the war in Iran and related geopolitical disruptions, inflation, tariffs, elevated interest rates, and unemployment rates on our business, and the potential effects of such developments on Progressive Leasing's POS partners, customers, and business going forward, a high level of estimation was involved in determining the allowance as of March 31, 2026. Actual lease merchandise write-offs could differ materially from the allowance for those write-offs.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Selling, general and administrative expense decreased resulting from the following:</w:t>
      </w:r>
    </w:p>
    <w:p>
      <w:pPr>
        <w:spacing w:after="0" w:line="104" w:lineRule="exact"/>
        <w:rPr>
          <w:sz w:val="20"/>
          <w:szCs w:val="20"/>
          <w:color w:val="auto"/>
        </w:rPr>
      </w:pPr>
    </w:p>
    <w:p>
      <w:pPr>
        <w:ind w:left="660" w:right="240" w:hanging="324"/>
        <w:spacing w:after="0" w:line="282" w:lineRule="auto"/>
        <w:rPr>
          <w:sz w:val="20"/>
          <w:szCs w:val="20"/>
          <w:color w:val="auto"/>
        </w:rPr>
      </w:pPr>
      <w:r>
        <w:rPr>
          <w:rFonts w:ascii="Times New Roman" w:cs="Times New Roman" w:eastAsia="Times New Roman" w:hAnsi="Times New Roman"/>
          <w:sz w:val="18"/>
          <w:szCs w:val="18"/>
          <w:color w:val="242424"/>
        </w:rPr>
        <w:t xml:space="preserve">– Personnel costs, advertising, and occupancy costs decreased by an aggregate </w:t>
      </w:r>
      <w:r>
        <w:rPr>
          <w:rFonts w:ascii="Times New Roman" w:cs="Times New Roman" w:eastAsia="Times New Roman" w:hAnsi="Times New Roman"/>
          <w:sz w:val="18"/>
          <w:szCs w:val="18"/>
          <w:color w:val="000000"/>
        </w:rPr>
        <w:t>$2.3 million due to</w:t>
      </w:r>
      <w:r>
        <w:rPr>
          <w:rFonts w:ascii="Times New Roman" w:cs="Times New Roman" w:eastAsia="Times New Roman" w:hAnsi="Times New Roman"/>
          <w:sz w:val="18"/>
          <w:szCs w:val="18"/>
          <w:color w:val="242424"/>
        </w:rPr>
        <w:t xml:space="preserve"> cost reduction initiatives during 2025; partially offset by:</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42424"/>
        </w:rPr>
        <w:t xml:space="preserve">–   Computer software expense </w:t>
      </w:r>
      <w:r>
        <w:rPr>
          <w:rFonts w:ascii="Times New Roman" w:cs="Times New Roman" w:eastAsia="Times New Roman" w:hAnsi="Times New Roman"/>
          <w:sz w:val="18"/>
          <w:szCs w:val="18"/>
          <w:color w:val="000000"/>
        </w:rPr>
        <w:t>increased $1.6 million relating to platform enhancements and other technology initiatives.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increased primarily due to restructuring-related employee severance of $0.5 million.</w:t>
      </w:r>
    </w:p>
    <w:p>
      <w:pPr>
        <w:spacing w:after="0" w:line="10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February 2026, Progressive Leasing sold a portfolio of charged-off lease receivables to a third-party for $6.5 million in cash and recognized a gain of $6.5 million as the carrying amount of the charged-off receivables had been reduced to zero. There were no similar sales during the three months ended March 31, 2025.</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for the three months ended March 31, 2026 was higher than the same period in 2025 due to an increase in debt used for the acquisition of Purchasing Power on January 2,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242424"/>
        </w:rPr>
        <w:t>Purchasing Power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1"/>
                <w:szCs w:val="11"/>
                <w:color w:val="auto"/>
              </w:rPr>
            </w:pPr>
          </w:p>
        </w:tc>
        <w:tc>
          <w:tcPr>
            <w:tcW w:w="10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of revenue</w:t>
            </w:r>
          </w:p>
        </w:tc>
        <w:tc>
          <w:tcPr>
            <w:tcW w:w="340" w:type="dxa"/>
            <w:vAlign w:val="bottom"/>
          </w:tcPr>
          <w:p>
            <w:pPr>
              <w:spacing w:after="0"/>
              <w:rPr>
                <w:sz w:val="11"/>
                <w:szCs w:val="11"/>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4"/>
                <w:szCs w:val="14"/>
                <w:color w:val="auto"/>
              </w:rPr>
              <w:t>% of</w:t>
            </w:r>
          </w:p>
        </w:tc>
        <w:tc>
          <w:tcPr>
            <w:tcW w:w="1480" w:type="dxa"/>
            <w:vAlign w:val="bottom"/>
            <w:vMerge w:val="restart"/>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revenue</w:t>
            </w:r>
          </w:p>
        </w:tc>
        <w:tc>
          <w:tcPr>
            <w:tcW w:w="14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merchandise volume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132,678</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132,678</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and service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106,406</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106,406</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729</w:t>
            </w:r>
          </w:p>
        </w:tc>
        <w:tc>
          <w:tcPr>
            <w:tcW w:w="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107,135</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107,135</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62,506</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62,506</w:t>
            </w:r>
          </w:p>
        </w:tc>
        <w:tc>
          <w:tcPr>
            <w:tcW w:w="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44,629</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12,961</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12,961</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28,385</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tcPr>
          <w:p>
            <w:pPr>
              <w:spacing w:after="0"/>
              <w:rPr>
                <w:sz w:val="19"/>
                <w:szCs w:val="19"/>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28,385</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11,428</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11,428</w:t>
            </w:r>
          </w:p>
        </w:tc>
        <w:tc>
          <w:tcPr>
            <w:tcW w:w="9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52,774</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tcPr>
          <w:p>
            <w:pPr>
              <w:spacing w:after="0"/>
              <w:rPr>
                <w:sz w:val="19"/>
                <w:szCs w:val="19"/>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52,774</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change in fair value of receivables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5,712</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5,712</w:t>
            </w:r>
          </w:p>
        </w:tc>
        <w:tc>
          <w:tcPr>
            <w:tcW w:w="9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9"/>
                <w:szCs w:val="19"/>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(2,433)</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5,067</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5,067</w:t>
            </w:r>
          </w:p>
        </w:tc>
        <w:tc>
          <w:tcPr>
            <w:tcW w:w="9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55"/>
        </w:trPr>
        <w:tc>
          <w:tcPr>
            <w:tcW w:w="41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from continuing operations before income tax</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(7,500)</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1"/>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nmf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Calculation is not meaningful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 xml:space="preserve">Selling, general and administrative expenses include </w:t>
      </w:r>
      <w:r>
        <w:rPr>
          <w:rFonts w:ascii="Times New Roman" w:cs="Times New Roman" w:eastAsia="Times New Roman" w:hAnsi="Times New Roman"/>
          <w:sz w:val="18"/>
          <w:szCs w:val="18"/>
          <w:color w:val="000000"/>
        </w:rPr>
        <w:t>$1.8 million of costs incurred related to the acquisition of Purchasing Power.</w:t>
      </w:r>
    </w:p>
    <w:p>
      <w:pPr>
        <w:spacing w:after="0" w:line="10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expenses include restructuring expense related to employee severance of $3.3 million resulting from cost reduction initiatives that occurred shortly after the Company's acquisition of Purchasing Power.</w:t>
      </w:r>
    </w:p>
    <w:p>
      <w:pPr>
        <w:spacing w:after="0" w:line="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gain on change in fair value of receivables of $5.7 million reflects changes in the estimated fair value of Purchasing Power's receivables under the fair value option, including the impact of the passage of time, changes in credit performance, discount rates and other valuation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242424"/>
        </w:rPr>
        <w:t>Four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1"/>
                <w:szCs w:val="11"/>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 of</w:t>
            </w:r>
          </w:p>
        </w:tc>
        <w:tc>
          <w:tcPr>
            <w:tcW w:w="420" w:type="dxa"/>
            <w:vAlign w:val="bottom"/>
          </w:tcPr>
          <w:p>
            <w:pPr>
              <w:spacing w:after="0"/>
              <w:rPr>
                <w:sz w:val="11"/>
                <w:szCs w:val="11"/>
                <w:color w:val="auto"/>
              </w:rPr>
            </w:pPr>
          </w:p>
        </w:tc>
        <w:tc>
          <w:tcPr>
            <w:tcW w:w="10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jc w:val="right"/>
              <w:ind w:right="74"/>
              <w:spacing w:after="0" w:line="135" w:lineRule="exact"/>
              <w:rPr>
                <w:sz w:val="20"/>
                <w:szCs w:val="20"/>
                <w:color w:val="auto"/>
              </w:rPr>
            </w:pPr>
            <w:r>
              <w:rPr>
                <w:rFonts w:ascii="Times New Roman" w:cs="Times New Roman" w:eastAsia="Times New Roman" w:hAnsi="Times New Roman"/>
                <w:sz w:val="14"/>
                <w:szCs w:val="14"/>
                <w:color w:val="auto"/>
              </w:rPr>
              <w:t>% of</w:t>
            </w:r>
          </w:p>
        </w:tc>
        <w:tc>
          <w:tcPr>
            <w:tcW w:w="440" w:type="dxa"/>
            <w:vAlign w:val="bottom"/>
          </w:tcPr>
          <w:p>
            <w:pPr>
              <w:spacing w:after="0"/>
              <w:rPr>
                <w:sz w:val="11"/>
                <w:szCs w:val="11"/>
                <w:color w:val="auto"/>
              </w:rPr>
            </w:pPr>
          </w:p>
        </w:tc>
        <w:tc>
          <w:tcPr>
            <w:tcW w:w="1540" w:type="dxa"/>
            <w:vAlign w:val="bottom"/>
            <w:vMerge w:val="restart"/>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revenue</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revenue</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merchandise volume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279,990</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119,863</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160,127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133.6 %</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Four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34,967</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14,429</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20,538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142.3 %</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5,451</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40" w:type="dxa"/>
            <w:vAlign w:val="bottom"/>
          </w:tcPr>
          <w:p>
            <w:pPr>
              <w:spacing w:after="0"/>
              <w:rPr>
                <w:sz w:val="19"/>
                <w:szCs w:val="19"/>
                <w:color w:val="auto"/>
              </w:rPr>
            </w:pP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5,966</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(139)</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11,226</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11,278</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9,260</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1,233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(160)</w:t>
            </w: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Earnings from continuing operations before income</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1,970</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9,420</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478.2 %</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at Four increased due to the continued significant growth in BNPL transactions, including growth in the Four+ subscription customers.</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42424"/>
        </w:rPr>
        <w:t>Provision for credit losses increased resulting from the growth in new BNPL transactions. Provision for credit losses as a percentage of revenue decreased resulting from improved decisioning and growth in subscription revenues.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Selling, general and administrative costs increased resulting from the following:</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Bank charges and processing fees increased $4.9 million related to higher customer payment transaction volumes; and</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Advertising expense</w:t>
      </w:r>
      <w:r>
        <w:rPr>
          <w:rFonts w:ascii="Times New Roman" w:cs="Times New Roman" w:eastAsia="Times New Roman" w:hAnsi="Times New Roman"/>
          <w:sz w:val="18"/>
          <w:szCs w:val="18"/>
          <w:color w:val="auto"/>
        </w:rPr>
        <w:t xml:space="preserve"> increased $1.4 million resulting from additional marketing efforts to support the continued growth of Four.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Operations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42424"/>
        </w:rPr>
        <w:t xml:space="preserve">Other operations incurred </w:t>
      </w:r>
      <w:r>
        <w:rPr>
          <w:rFonts w:ascii="Times New Roman" w:cs="Times New Roman" w:eastAsia="Times New Roman" w:hAnsi="Times New Roman"/>
          <w:sz w:val="18"/>
          <w:szCs w:val="18"/>
          <w:color w:val="000000"/>
        </w:rPr>
        <w:t>$8.3 million</w:t>
      </w:r>
      <w:r>
        <w:rPr>
          <w:rFonts w:ascii="Times New Roman" w:cs="Times New Roman" w:eastAsia="Times New Roman" w:hAnsi="Times New Roman"/>
          <w:sz w:val="18"/>
          <w:szCs w:val="18"/>
          <w:color w:val="242424"/>
        </w:rPr>
        <w:t xml:space="preserve"> of losses before income tax expense, which is primarily related to costs incurred related to the successful acquisition of Purchasing Power on January 2,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Income tax expense decreased to $11.3 million for the three months ended March 31, 2026 compared to $12.7 million in the prior year comparable period. The effective income tax rate was 23.9% for the three months ended March 31, 2026 compared to 26.8% for the same period in 2025. The decrease in the effective tax rate was primarily due to the discrete tax benefit related to stock-based compensation vestings in March 2026.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Overview of Financial Position</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major changes in the condensed consolidated balance sheet from December 31, 2025 to March 31, 2026 were driven by the acquisition of Purchasing Power on January 2, 2026, as discussed below:</w:t>
      </w:r>
    </w:p>
    <w:p>
      <w:pPr>
        <w:spacing w:after="0" w:line="27" w:lineRule="exact"/>
        <w:rPr>
          <w:sz w:val="20"/>
          <w:szCs w:val="20"/>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Cash and cash equivalents decreased $239.4 million from $308.8 million to $69.4 million during the three months ended March 31, 2026, due primarily to the cash consideration paid in connection with the acquisition of Purchasing Power. For additional information, refer to the "Liquidity and Capital Resources" section below.</w:t>
      </w:r>
    </w:p>
    <w:p>
      <w:pPr>
        <w:spacing w:after="0" w:line="54" w:lineRule="exact"/>
        <w:rPr>
          <w:rFonts w:ascii="Times New Roman" w:cs="Times New Roman" w:eastAsia="Times New Roman" w:hAnsi="Times New Roman"/>
          <w:sz w:val="18"/>
          <w:szCs w:val="18"/>
          <w:b w:val="1"/>
          <w:bCs w:val="1"/>
          <w:i w:val="1"/>
          <w:iCs w:val="1"/>
          <w:color w:val="242424"/>
        </w:rPr>
      </w:pPr>
    </w:p>
    <w:p>
      <w:pPr>
        <w:ind w:left="660" w:right="100" w:hanging="328"/>
        <w:spacing w:after="0" w:line="282" w:lineRule="auto"/>
        <w:tabs>
          <w:tab w:leader="none" w:pos="655" w:val="left"/>
        </w:tabs>
        <w:numPr>
          <w:ilvl w:val="0"/>
          <w:numId w:val="21"/>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Accounts receivable, net of allowances and unearned interest income, increased $313.4 million compared to December 31, 2025 primarily due to the addition of Purchasing Power's receivable portfolio acquired on January 2, 2026.</w:t>
      </w:r>
    </w:p>
    <w:p>
      <w:pPr>
        <w:spacing w:after="0" w:line="40" w:lineRule="exact"/>
        <w:rPr>
          <w:rFonts w:ascii="Times New Roman" w:cs="Times New Roman" w:eastAsia="Times New Roman" w:hAnsi="Times New Roman"/>
          <w:sz w:val="18"/>
          <w:szCs w:val="18"/>
          <w:b w:val="1"/>
          <w:bCs w:val="1"/>
          <w:i w:val="1"/>
          <w:iCs w:val="1"/>
          <w:color w:val="242424"/>
        </w:rPr>
      </w:pPr>
    </w:p>
    <w:p>
      <w:pPr>
        <w:ind w:left="660" w:right="300" w:hanging="328"/>
        <w:spacing w:after="0" w:line="282" w:lineRule="auto"/>
        <w:tabs>
          <w:tab w:leader="none" w:pos="655" w:val="left"/>
        </w:tabs>
        <w:numPr>
          <w:ilvl w:val="0"/>
          <w:numId w:val="21"/>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Lease merchandise, net of accumulated depreciation and allowances, decreased $77.7 million during the first quarter of 2026, primarily due to lower Progressive Leasing GMV which reduced lease originations and the related lease merchandise balance.</w:t>
      </w:r>
    </w:p>
    <w:p>
      <w:pPr>
        <w:spacing w:after="0" w:line="26" w:lineRule="exact"/>
        <w:rPr>
          <w:rFonts w:ascii="Times New Roman" w:cs="Times New Roman" w:eastAsia="Times New Roman" w:hAnsi="Times New Roman"/>
          <w:sz w:val="18"/>
          <w:szCs w:val="18"/>
          <w:b w:val="1"/>
          <w:bCs w:val="1"/>
          <w:i w:val="1"/>
          <w:iCs w:val="1"/>
          <w:color w:val="242424"/>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net increased $417.8 million, reflecting preliminary purchase accounting associated with the Purchasing Power acquisition, including the recognition of goodwill and identifiable intangible assets.</w:t>
      </w:r>
    </w:p>
    <w:p>
      <w:pPr>
        <w:spacing w:after="0" w:line="4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accrued expenses increased $40.5 million, primarily due to liabilities assumed in the Purchasing Power acquisition. Purchasing Power had $56.0 million of accounts payable and accrued liabilities as of March 31, 2026.</w:t>
      </w:r>
    </w:p>
    <w:p>
      <w:pPr>
        <w:spacing w:after="0" w:line="40"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1"/>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Deferred income tax liabilities increased $26.7 million resulting from the recognition of deferred income tax liabilities with the acquisition of Purchasing Power.</w:t>
      </w:r>
    </w:p>
    <w:p>
      <w:pPr>
        <w:spacing w:after="0" w:line="26" w:lineRule="exact"/>
        <w:rPr>
          <w:rFonts w:ascii="Times New Roman" w:cs="Times New Roman" w:eastAsia="Times New Roman" w:hAnsi="Times New Roman"/>
          <w:sz w:val="18"/>
          <w:szCs w:val="18"/>
          <w:b w:val="1"/>
          <w:bCs w:val="1"/>
          <w:i w:val="1"/>
          <w:iCs w:val="1"/>
          <w:color w:val="242424"/>
        </w:rPr>
      </w:pPr>
    </w:p>
    <w:p>
      <w:pPr>
        <w:ind w:left="660" w:right="2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receivables decreased $21.3 million primarily due to federal tax refund received during the quarter ended March 31, 2026, resulting from enactment of tax legislation permitting 100% federal bonus depreciation.</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1"/>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Debt, net increased $341.3 million primarily due to incremental borrowings incurred in connection with the acquisition of Purchasing Power and non-recourse funding debt of Purchasing Power that remained in place following the acquisition, partially offset by debt repayments during the period.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Overall, the changes in the Company's financial position during the period were primarily driven by the acquisition of Purchasing Power, which resulted in significant increases in assets, liabilities, and debt, partially offset by the use of cash to fund the transaction.</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0" w:name="page51"/>
    <w:bookmarkEnd w:id="50"/>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primary capital requirements will consist of:</w:t>
      </w:r>
    </w:p>
    <w:p>
      <w:pPr>
        <w:spacing w:after="0" w:line="90" w:lineRule="exact"/>
        <w:rPr>
          <w:sz w:val="20"/>
          <w:szCs w:val="20"/>
          <w:color w:val="auto"/>
        </w:rPr>
      </w:pPr>
    </w:p>
    <w:p>
      <w:pPr>
        <w:ind w:left="660" w:right="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Reinvesting in our business, including acquiring merchandise to lease to our Progressive Leasing customers, purchasing products and services for resale through installment sales agreements with our Purchasing Power customers, and originating new BNPL transactions with our Four customers. Because we believe these businesses will continue to grow over the long-term, we expect that the need for additional merchandise will remain a major capital requirement;</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merger and acquisition investment(s) to further broaden our product offerings;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excess cash to shareholders through periodically repurchasing stock and/or paying dividends.</w:t>
      </w:r>
    </w:p>
    <w:p>
      <w:pPr>
        <w:spacing w:after="0" w:line="9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capital requirements include (i) expenditures related to software development; (ii) expenditures related to our corporate operating activities; (iii) personnel expenditures; (iv) income tax payments; and (v) servicing our outstanding debt obligations.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requirements historically have been financed through:</w:t>
      </w:r>
    </w:p>
    <w:p>
      <w:pPr>
        <w:spacing w:after="0" w:line="10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offerings;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debt;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w:t>
      </w:r>
    </w:p>
    <w:p>
      <w:pPr>
        <w:spacing w:after="0" w:line="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$69.4 million of cash, $350.0 million of availability under the Revolving Facility, and $943.7 million of gross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$171.7 million and $209.9 million during the three months ended March 31, 2026 and 2025, respectively. The $38.2 million decrease in operating cash flows was driven by changes in working capital, primarily a decrease in accounts payable and accrued expenses, which reflects the timing of payments. This was partially offset by improved collections of accounts receivable, which reduced the use of cash compared to the prior year. Other changes in cash provided by operating activities are discussed above in our discussion of results for the three months ended March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$385.9 million and $4.1 million during the three months ended March 31, 2026 and 2025, respectively. The</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$381.8 million increase in investing cash outflows was primarily the result of the $391.8 million of cash paid for the acquisition of Purchasing Power, net of cash acquired.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$15.1 million during the three months ended March 31, 2026 compared to $88.2 million during the same period in 2025. Cash used in financing activities during the three months ended March 31, 2026 was primarily $546.2 million of proceeds from borrowings, offset by $541.1 million of repayments on debt and $5.6 million paid for cash dividends. Cash used in financing activities during the three months ended March 31, 2025 was primarily the repayment of $50.0 million that was drawn on our revolving credit facility during the fourth quarter of 2024, the Company's repurchase of $26.1 million of its common stock and $5.3 million paid for cash dividends.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purchase our stock in the market from time to time as authorized by our Board of Directors. Effective February 21, 2024, the Company's Board of Directors reauthorized the repurchase of Company common stock at an aggregate purchase price of up to $500 million under the Company's existing share repurchase program, with such reauthorized share repurchase program to be extended for a period of three years from February 21, 2024, or until the $500 million aggregate purchase price of Company common stock purchased pursuant to the reauthorized share repurchase program has been met, whichever occurs first.</w:t>
      </w:r>
    </w:p>
    <w:p>
      <w:pPr>
        <w:spacing w:after="0" w:line="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of its shares during the three months ended March 31, 2026. As of March 31, 2026, we had the authority to purchase additional shares up to our remaining authorization limit of $309.6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25, 2026, our Board of Directors declared a quarterly cash dividend in the amount of $0.14 per share of outstanding common stock, which was paid on March 24, 2026. Aggregate dividend payments during the three months ended March 31, 2026 were $5.6 million. While we expect to continue paying quarterly cash dividends in future periods, the future payment of dividends, if permitted, will be at the sole discretion of our Board of Directors and will depend on our capital allocation strategy at that time as well as other factors, including our earnings, financial condition, and other considerations that our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structure includes a combination of corporate-level borrowings and asset-backed financing arrangements of non-recourse funding</w:t>
      </w:r>
    </w:p>
    <w:p>
      <w:pPr>
        <w:spacing w:after="0" w:line="5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debt. Our corporate-level borrowings increased to fund part of the purchase price we paid for the acquisition of Purchasing Power. Purchasing Power's asset-backed financing arrangements remained in place following our acquisition of Purchasing Power on January 2,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Debt</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maintains a $350.0 million senior revolving credit facility (the "Revolving Facility") that matures on November 15, 2029. Borrowings under the Revolving Facility bear interest, at the Company's election, at either a base rate or term SOFR plus an applicable margin based on the Company's leverage ratio, and the facility includes a commitment fee on unused capacity. As of March 31, 2026, there were no outstanding borrowings under the Revolving Facility and $350.0 million remained available for borrowing. During the three months ended March 31, 2026, borrowings under the Revolving Facility, which were repaid prior to the end of the quarter, were primarily utilized to support short-term liquidity needs in connection with the Purchasing Power acquisition and related transactions.</w:t>
      </w:r>
    </w:p>
    <w:p>
      <w:pPr>
        <w:spacing w:after="0" w:line="6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Purchasing Power, the Company entered into a Fourth Amendment to its existing credit agreement, which among other changes provided for a new $125.0 million term loan ("Term Loan A") maturing November 15, 2029. Term Loan A bears interest at a variable rate based on SOFR plus an applicable margin determined by the Company's leverage ratio and amortizes through quarterly principal payments, with the remaining balance due at maturity. During the three months ended March 31, 2026, the Company voluntarily repaid $75.0 million of the term loan, resulting in an outstanding balance of $50.0 million at period end.</w:t>
      </w:r>
    </w:p>
    <w:p>
      <w:pPr>
        <w:spacing w:after="0" w:line="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also has $600.0 million aggregate principal amount of senior unsecured notes due November 2029, which bear interest at a fixed rate of 6.0%. The remaining principal amount of those notes remained unchanged during the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Financing</w:t>
      </w:r>
    </w:p>
    <w:p>
      <w:pPr>
        <w:spacing w:after="0" w:line="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securitization and warehouse funding arrangements utilized by Purchasing Power remained in place following the Company's acquisition of Purchasing Power. Those arrangements are structured as non-recourse, asset-backed financings secured by underlying receivables and related cash flows. These arrangements are accounted for as secured borrowings, as the related receivables remain on the Company's balance sheet.</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Following its acquisition of Purchasing Power, the Company repaid and terminated certain of those securitization and warehouse facilities, while continuing to utilize asset-backed financing as a key funding source. On February 26, 2026, a wholly-owned securitization entity issued $220.0 million aggregate principal amount of asset-backed notes in a private placement transaction. These notes are secured by receivables held by the securitization entity, with collections applied through a customary priority of payments structure.</w:t>
      </w:r>
    </w:p>
    <w:p>
      <w:pPr>
        <w:spacing w:after="0" w:line="5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March 31, 2026, total asset-backed debt was $291.4 million, net of unamortized debt issuance costs. These arrangements include customary performance-based triggers and covenants, and if certain thresholds are not met, may result in rapid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ind w:right="180"/>
        <w:spacing w:after="0" w:line="391" w:lineRule="auto"/>
        <w:rPr>
          <w:sz w:val="20"/>
          <w:szCs w:val="20"/>
          <w:color w:val="auto"/>
        </w:rPr>
      </w:pPr>
      <w:r>
        <w:rPr>
          <w:rFonts w:ascii="Times New Roman" w:cs="Times New Roman" w:eastAsia="Times New Roman" w:hAnsi="Times New Roman"/>
          <w:sz w:val="18"/>
          <w:szCs w:val="18"/>
          <w:color w:val="auto"/>
        </w:rPr>
        <w:t xml:space="preserve">amortization of the outstanding debt. As of March 31, 2026, no such events had occurred and we do not expect any such event to occur in future periods. </w:t>
      </w:r>
      <w:r>
        <w:rPr>
          <w:rFonts w:ascii="Times New Roman" w:cs="Times New Roman" w:eastAsia="Times New Roman" w:hAnsi="Times New Roman"/>
          <w:sz w:val="18"/>
          <w:szCs w:val="18"/>
          <w:i w:val="1"/>
          <w:iCs w:val="1"/>
          <w:color w:val="auto"/>
        </w:rPr>
        <w:t>Debt Activity and Liquidity</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debt, net increased to $936.1 million as of March 31, 2026 from $594.9 million as of December 31, 2025, primarily driven by (i) borrowings incurred to finance the Purchasing Power acquisition, (ii) the asset-backed non-recourse funding debt that remained in place following the acquisition, and (iii) the issuance of new securitization debt, partially offset by repayments of both corporate and asset-backed borrowings during the period.</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Company's asset-backed financing arrangements are non-recourse to the general credit of the Company and are secured solely by the underlying receivables and related assets held within the securitization entities. Accordingly, these assets are restricted and not available to satisfy the claims of the Company's general creditors.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debt agreements contain customary financial and operating covenants, including leverage and interest coverage requirements. As of March 31, 2026, the Company was in compliance with all such covenants and believes it will continue to be in compliance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received net income tax refunds of $17.7 million. Within the next nine months, we anticipate making estimated net tax payments of $5.8 million for United States federal income taxes and state income taxes. That expectation includes anticipated favorable impacts on the Company's cash taxes resulting from the One Big Beautiful Bill Act, which was signed into law on July 4, 2025.</w:t>
      </w:r>
    </w:p>
    <w:p>
      <w:pPr>
        <w:spacing w:after="0" w:line="5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Deferred income tax liabilities as of March 31, 2026 were $147.9 million.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lease management and information technology space for corporate functions under operating leases expiring at various times through 2029. Our corporate and segment management office leases contain renewal options for additional periods ranging from two to five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Future interest payments on the Company's variable-rate debt are primarily based on the Secured Overnight Financing Rate ("SOFR") plus an applicable margin determined by the Company's leverage ratio. Following the Fourth Amendment to the Company's credit agreement, borrowings under the Revolving Facility and Term Loan A bear interest, at the Company's option, at either (i) SOFR plus a margin generally ranging from 1.5% to 2.8%, or (ii) a base rate plus a margin that is lower than the applicable SOFR-based margin. In addition, the Company is subject to commitment fees on unused revolving commitments, which range from 0.25% to 0.50% based on the Company's total net leverage ratio. The Revolving Facility and Term Loan A mature in November 2029.</w:t>
      </w:r>
    </w:p>
    <w:p>
      <w:pPr>
        <w:spacing w:after="0" w:line="6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no outstanding borrowings under the Revolving Facility. Accordingly, future interest obligations under the Revolving Facility will depend on future borrowing activity and prevailing interest rates.</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$600.0 million aggregate principal amount of Senior Notes bear a fixed annual interest rate of 6.0%, payable semi-annually, and mature in November 2029.</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asset-backed financing arrangements associated with its securitization activities, which are secured by underlying receivables and related cash flows. These arrangements include contractual obligations for interest and principal payments based on the performance and collections of the underlying receivables originated by Purchasing Power and are generally non-recourse to the Company's other assets.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no long-term contractual obligations to purchase merchandise or other commitments requiring minimum purchases beyond its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1" w:right="379" w:bottom="1440" w:gutter="0" w:footer="0" w:header="0"/>
        </w:sectPr>
      </w:pPr>
    </w:p>
    <w:bookmarkStart w:id="53" w:name="page54"/>
    <w:bookmarkEnd w:id="53"/>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described in our Annual Report on Form 10-K for the year ended December 31, 2025. There have been no material changes to those policies during the three months ended March 31, 2026, except as described below.</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adopted new accounting policies related to our acquisition of Purchasing Power, including revenue recognition, receivables, and debt-related policies. A detailed description of these policies is included in Note 1 in the accompanying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to the condensed consolidated financial statements for a discussion of recently issued accounting pronouncements.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exposure to market risk is primarily related to interest rate risk on its variable-rate debt, which includes borrowings under its Term Loan A and asset-backed financing arrangements. These borrowings generally bear interest at rates indexed to SOFR or other variable benchmarks, plus an applicable margin, and therefore expose the Company to variability in interest expense as market interest rates change.</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no outstanding borrowings under its Revolving Facility; however, the facility remains available for future borrowings and, if utilized, would also bear interest at variable rates tied to SOFR or a base rate.</w:t>
      </w:r>
    </w:p>
    <w:p>
      <w:pPr>
        <w:spacing w:after="0" w:line="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Company's variable-rate debt outstanding as of March 31, 2026, a hypothetical 1.0% increase or decrease in interest rates would result in a corresponding increase or decrease in annual interest expense of approximately $1.2 million.</w:t>
      </w:r>
    </w:p>
    <w:p>
      <w:pPr>
        <w:spacing w:after="0" w:line="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does not currently use derivative financial instruments or other market risk sensitive instruments to hedge exposure to interest rate, commodity price, or foreign currency risks, and does not hold such instruments for trading or speculative purposes.</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54" w:name="page55"/>
    <w:bookmarkEnd w:id="5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as part of a multi-phase implementation of a new enterprise resource planning ("ERP") system that began during the second quarter of 2025 and is expected to continue throughout 2026, the Company began utilizing certain aspects of the new ERP system.</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new ERP replaces legacy systems and is designed to, among other things, streamline and enhance the Company's financial and accounting processes through a comprehensive, integrated solution. In connection with the implementation, certain existing internal controls were modified or removed, and new internal controls and procedures were designed and implemented to align with the new ERP system. This implementation resulted in changes to certain internal controls over financial reporting. The Company performed additional testing and monitoring procedures during and after the go-live to ensure appropriate operations of controls. Additional phases of the implementation are planned for 2026, and we will continue to evaluate quarterly whether these changes materially affect our internal control over financial reporting.</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January 2, 2026, we acquired Purchasing Power. We are currently in the process of integrating Purchasing Power into our assessment of our internal control over financial reporting. Management's assessment and conclusions on the effectiveness of our disclosure controls and procedures as of March 31, 2026 excludes an assessment of the internal control over financial reporting of Purchasing Power.</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changes in the Company's internal control over financial reporting during the three months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8 in the accompanying condensed consolidated financial statements under the heading "Legal and Regulatory Proceedings," which discussion is incorporated by reference in response to this Item 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updates to its risk factors disclosure that were previously reported in the 2025 Annual Report.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 repurchases or other unregistered sales of equity securities for the three months ended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6" w:name="page57"/>
    <w:bookmarkEnd w:id="5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000" w:type="dxa"/>
            <w:vAlign w:val="bottom"/>
            <w:gridSpan w:val="5"/>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0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31.1*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as amended.</w:t>
            </w: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31.2*</w:t>
            </w:r>
          </w:p>
        </w:tc>
        <w:tc>
          <w:tcPr>
            <w:tcW w:w="9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and Rule 15d-14(a) of the Securities Exchange Act, as amended.</w:t>
            </w:r>
          </w:p>
        </w:tc>
        <w:tc>
          <w:tcPr>
            <w:tcW w:w="40" w:type="dxa"/>
            <w:vAlign w:val="bottom"/>
            <w:tcBorders>
              <w:top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32.1*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1350, as adopted pursuant to Section 906 of the Sarbanes-Oxley Act of</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264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4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32.2*</w:t>
            </w:r>
          </w:p>
        </w:tc>
        <w:tc>
          <w:tcPr>
            <w:tcW w:w="10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1350, as adopted pursuant to Section 906 of the Sarbanes-Oxley Act of 2002.</w:t>
            </w: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6"/>
              </w:rPr>
              <w:t>10.22*</w:t>
            </w:r>
          </w:p>
        </w:tc>
        <w:tc>
          <w:tcPr>
            <w:tcW w:w="5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Supplemental Indenture and Subsidiary Guarantee dated April 1, 2026.</w:t>
            </w:r>
          </w:p>
        </w:tc>
        <w:tc>
          <w:tcPr>
            <w:tcW w:w="49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6"/>
              </w:rPr>
              <w:t>10.23*</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Joinder Agreement dated March 17, 2026.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70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92"/>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7"/>
              </w:rPr>
              <w:t>101.DEF</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101.PRE</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60" w:right="280" w:hanging="774"/>
        <w:spacing w:after="0" w:line="237"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 the quarter ended March 31, 2026, formatted in Inline XBRL (included in Exhibit 101)</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4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1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PROG Holdings, Inc.</w:t>
            </w:r>
          </w:p>
        </w:tc>
      </w:tr>
      <w:tr>
        <w:trPr>
          <w:trHeight w:val="234"/>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29, 2026</w:t>
            </w: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Brian Garner</w:t>
            </w:r>
          </w:p>
        </w:tc>
      </w:tr>
      <w:tr>
        <w:trPr>
          <w:trHeight w:val="229"/>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29, 2026</w:t>
            </w: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SEWELL</w:t>
            </w:r>
          </w:p>
        </w:tc>
      </w:tr>
      <w:tr>
        <w:trPr>
          <w:trHeight w:val="218"/>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Matt Sewell</w:t>
            </w:r>
          </w:p>
        </w:tc>
      </w:tr>
      <w:tr>
        <w:trPr>
          <w:trHeight w:val="230"/>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r>
      <w:tr>
        <w:trPr>
          <w:trHeight w:val="234"/>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91"/>
        </w:trPr>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c>
          <w:tcPr>
            <w:tcW w:w="3560" w:type="dxa"/>
            <w:vAlign w:val="bottom"/>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58" w:name="page59"/>
    <w:bookmarkEnd w:id="58"/>
    <w:p>
      <w:pPr>
        <w:ind w:left="1002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SUPPLEMENTAL INDENTURE DELIVERED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SUBSEQUENT SUBSIDIARY GUARANTORS</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Supplemental Indenture and Subsidiary Guarantee, dated as of April 1, 2026 (this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among PROG Beach, LLC (“</w:t>
      </w:r>
      <w:r>
        <w:rPr>
          <w:rFonts w:ascii="Times New Roman" w:cs="Times New Roman" w:eastAsia="Times New Roman" w:hAnsi="Times New Roman"/>
          <w:sz w:val="20"/>
          <w:szCs w:val="20"/>
          <w:u w:val="single" w:color="auto"/>
          <w:color w:val="auto"/>
        </w:rPr>
        <w:t>PROG Beach</w:t>
      </w:r>
      <w:r>
        <w:rPr>
          <w:rFonts w:ascii="Times New Roman" w:cs="Times New Roman" w:eastAsia="Times New Roman" w:hAnsi="Times New Roman"/>
          <w:sz w:val="20"/>
          <w:szCs w:val="20"/>
          <w:color w:val="auto"/>
        </w:rPr>
        <w:t>”), P-Squared LLC (“</w:t>
      </w:r>
      <w:r>
        <w:rPr>
          <w:rFonts w:ascii="Times New Roman" w:cs="Times New Roman" w:eastAsia="Times New Roman" w:hAnsi="Times New Roman"/>
          <w:sz w:val="20"/>
          <w:szCs w:val="20"/>
          <w:u w:val="single" w:color="auto"/>
          <w:color w:val="auto"/>
        </w:rPr>
        <w:t>P-Squared</w:t>
      </w:r>
      <w:r>
        <w:rPr>
          <w:rFonts w:ascii="Times New Roman" w:cs="Times New Roman" w:eastAsia="Times New Roman" w:hAnsi="Times New Roman"/>
          <w:sz w:val="20"/>
          <w:szCs w:val="20"/>
          <w:color w:val="auto"/>
        </w:rPr>
        <w:t>”), FPF Waveland, Inc. (“</w:t>
      </w:r>
      <w:r>
        <w:rPr>
          <w:rFonts w:ascii="Times New Roman" w:cs="Times New Roman" w:eastAsia="Times New Roman" w:hAnsi="Times New Roman"/>
          <w:sz w:val="20"/>
          <w:szCs w:val="20"/>
          <w:u w:val="single" w:color="auto"/>
          <w:color w:val="auto"/>
        </w:rPr>
        <w:t>FPF Waveland</w:t>
      </w:r>
      <w:r>
        <w:rPr>
          <w:rFonts w:ascii="Times New Roman" w:cs="Times New Roman" w:eastAsia="Times New Roman" w:hAnsi="Times New Roman"/>
          <w:sz w:val="20"/>
          <w:szCs w:val="20"/>
          <w:color w:val="auto"/>
        </w:rPr>
        <w:t>”), FSP III Kendrick Purchasing Power Holdings, Inc. (“</w:t>
      </w:r>
      <w:r>
        <w:rPr>
          <w:rFonts w:ascii="Times New Roman" w:cs="Times New Roman" w:eastAsia="Times New Roman" w:hAnsi="Times New Roman"/>
          <w:sz w:val="20"/>
          <w:szCs w:val="20"/>
          <w:u w:val="single" w:color="auto"/>
          <w:color w:val="auto"/>
        </w:rPr>
        <w:t>FSP III</w:t>
      </w:r>
      <w:r>
        <w:rPr>
          <w:rFonts w:ascii="Times New Roman" w:cs="Times New Roman" w:eastAsia="Times New Roman" w:hAnsi="Times New Roman"/>
          <w:sz w:val="20"/>
          <w:szCs w:val="20"/>
          <w:color w:val="auto"/>
        </w:rPr>
        <w:t>”), Purchasing Power Holdings, LLC (“</w:t>
      </w:r>
      <w:r>
        <w:rPr>
          <w:rFonts w:ascii="Times New Roman" w:cs="Times New Roman" w:eastAsia="Times New Roman" w:hAnsi="Times New Roman"/>
          <w:sz w:val="20"/>
          <w:szCs w:val="20"/>
          <w:u w:val="single" w:color="auto"/>
          <w:color w:val="auto"/>
        </w:rPr>
        <w:t>Purchasing Power Holdings</w:t>
      </w:r>
      <w:r>
        <w:rPr>
          <w:rFonts w:ascii="Times New Roman" w:cs="Times New Roman" w:eastAsia="Times New Roman" w:hAnsi="Times New Roman"/>
          <w:sz w:val="20"/>
          <w:szCs w:val="20"/>
          <w:color w:val="auto"/>
        </w:rPr>
        <w:t>”), Purchasing Power, LLC (“</w:t>
      </w:r>
      <w:r>
        <w:rPr>
          <w:rFonts w:ascii="Times New Roman" w:cs="Times New Roman" w:eastAsia="Times New Roman" w:hAnsi="Times New Roman"/>
          <w:sz w:val="20"/>
          <w:szCs w:val="20"/>
          <w:u w:val="single" w:color="auto"/>
          <w:color w:val="auto"/>
        </w:rPr>
        <w:t>Purchasing Power</w:t>
      </w:r>
      <w:r>
        <w:rPr>
          <w:rFonts w:ascii="Times New Roman" w:cs="Times New Roman" w:eastAsia="Times New Roman" w:hAnsi="Times New Roman"/>
          <w:sz w:val="20"/>
          <w:szCs w:val="20"/>
          <w:color w:val="auto"/>
        </w:rPr>
        <w:t>” and, together with PROG Beach, P-Squared, FPF Waveland, FSP III and Purchasing Power Holdings, the “</w:t>
      </w:r>
      <w:r>
        <w:rPr>
          <w:rFonts w:ascii="Times New Roman" w:cs="Times New Roman" w:eastAsia="Times New Roman" w:hAnsi="Times New Roman"/>
          <w:sz w:val="20"/>
          <w:szCs w:val="20"/>
          <w:u w:val="single" w:color="auto"/>
          <w:color w:val="auto"/>
        </w:rPr>
        <w:t>New Guarantors</w:t>
      </w:r>
      <w:r>
        <w:rPr>
          <w:rFonts w:ascii="Times New Roman" w:cs="Times New Roman" w:eastAsia="Times New Roman" w:hAnsi="Times New Roman"/>
          <w:sz w:val="20"/>
          <w:szCs w:val="20"/>
          <w:color w:val="auto"/>
        </w:rPr>
        <w:t>”), PROG Holdings, Inc. (together with its successors and assigns,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the Subsidiary Guarantors party thereto and U.S. Bank Trust Company, National Association, as Trustee (in such capacity,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paying agent and registrar under such Indenture.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Issuer, the Subsidiary Guarantors party thereto and the Trustee have heretofore executed and delivered an Indenture, dated as of November 26, 2021 (as amended, supplemented, waived or otherwise modified,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providing for the issuance of an unlimited aggregate principal amount of 6.000% Senior Notes due 2029 of the Issuer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Section 4.15 of the Indenture provides that in certain circumstances the Issuer may be required to cause certain Restricted Subsidiaries of the Issuer to execute and deliver a Subsidiary Guarantee with respect to the Notes on the same terms and conditions as those set forth in the Indenture; and</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Section 9.1 of the Indenture, the Trustee and the Issuer are authorized to execute and deliver this Supplemental Indenture to amend the Indenture, without the consent of any Holder to add an additional Subsidiary Guarantor.</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the New Guarantors, the Issuer and the Trustee mutually covenant and agree for the equal and ratable benefit of the Holders as follows:</w:t>
      </w:r>
    </w:p>
    <w:p>
      <w:pPr>
        <w:spacing w:after="0" w:line="1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ARTICLE I</w:t>
      </w:r>
    </w:p>
    <w:p>
      <w:pPr>
        <w:spacing w:after="0" w:line="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 to be Bound; Guarantee</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Agreement to be Bound</w:t>
      </w:r>
      <w:r>
        <w:rPr>
          <w:rFonts w:ascii="Times New Roman" w:cs="Times New Roman" w:eastAsia="Times New Roman" w:hAnsi="Times New Roman"/>
          <w:sz w:val="20"/>
          <w:szCs w:val="20"/>
          <w:color w:val="auto"/>
        </w:rPr>
        <w:t>. Each of the New Guarantors hereby becomes a party to the Indenture as a Subsidiary Guarantor and as such shall have all of the rights and be subject to all of the obligations and agreements of a Subsidiary Guarantor under the Indenture. Each of the New Guarantors agrees to be bound by all of the provisions of the Indenture applicable to a Subsidiary Guarantor and to perform all of the obligations and agreements of a Subsidiary Guarantor under the Indenture, subject to the release provisions and other limitations set forth in the Indenture.</w:t>
      </w:r>
    </w:p>
    <w:p>
      <w:pPr>
        <w:sectPr>
          <w:pgSz w:w="11900" w:h="16838" w:orient="portrait"/>
          <w:cols w:equalWidth="0" w:num="1">
            <w:col w:w="11240"/>
          </w:cols>
          <w:pgMar w:left="320" w:top="122" w:right="339" w:bottom="1440" w:gutter="0" w:footer="0" w:header="0"/>
        </w:sectPr>
      </w:pPr>
    </w:p>
    <w:bookmarkStart w:id="59" w:name="page60"/>
    <w:bookmarkEnd w:id="59"/>
    <w:p>
      <w:pPr>
        <w:ind w:left="5080"/>
        <w:spacing w:after="0"/>
        <w:rPr>
          <w:sz w:val="20"/>
          <w:szCs w:val="20"/>
          <w:color w:val="auto"/>
        </w:rPr>
      </w:pPr>
      <w:r>
        <w:rPr>
          <w:rFonts w:ascii="Times New Roman" w:cs="Times New Roman" w:eastAsia="Times New Roman" w:hAnsi="Times New Roman"/>
          <w:sz w:val="20"/>
          <w:szCs w:val="20"/>
          <w:color w:val="auto"/>
        </w:rPr>
        <w:t>ARTICLE III</w:t>
      </w:r>
    </w:p>
    <w:p>
      <w:pPr>
        <w:spacing w:after="0" w:line="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shall be governed by, and construed in accordance with, the laws of the State of New York.</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Severability Clause</w:t>
      </w:r>
      <w:r>
        <w:rPr>
          <w:rFonts w:ascii="Times New Roman" w:cs="Times New Roman" w:eastAsia="Times New Roman" w:hAnsi="Times New Roman"/>
          <w:sz w:val="20"/>
          <w:szCs w:val="20"/>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Ratification of Indenture; Supplemental Indentures Part of Indenture; No Liability of Trustee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each of the New Guarantor’s Subsidiary Guarantee. Additionally, the Trustee shall not be responsible in any manner whatsoever for or with respect to any of the recitals or statements contained herein, all of which recitals or statements are made solely by the Issuer, the New Guarantors and the Subsidiary Guarantors, and the Trustee makes no representation with respect to any such matters.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3.4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Supplemental Indenture may be executed in two or more counterparts, which when so executed shall constitute one and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Indenture for all purposes. Signatures of the parties hereto transmitted by facsimile, PDF or other electronic means shall be deemed to be their original signatures for all purposes.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3.5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Articles and the sections in this Supplemental Indenture are for convenience of reference only and shall not be deemed to alter or affect the meaning or interpretation of any provisions 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PROG HOLDINGS, INC.</w:t>
      </w:r>
    </w:p>
    <w:p>
      <w:pPr>
        <w:spacing w:after="0" w:line="233" w:lineRule="exact"/>
        <w:rPr>
          <w:sz w:val="20"/>
          <w:szCs w:val="20"/>
          <w:color w:val="auto"/>
        </w:rPr>
      </w:pPr>
    </w:p>
    <w:p>
      <w:pPr>
        <w:ind w:left="3900"/>
        <w:spacing w:after="0"/>
        <w:tabs>
          <w:tab w:leader="none" w:pos="4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3176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Todd King</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Chief Legal &amp; Compliance Officer</w:t>
      </w: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PROG BEACH, LLC,</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Guarantor</w:t>
      </w:r>
    </w:p>
    <w:p>
      <w:pPr>
        <w:spacing w:after="0" w:line="207" w:lineRule="exact"/>
        <w:rPr>
          <w:sz w:val="20"/>
          <w:szCs w:val="20"/>
          <w:color w:val="auto"/>
        </w:rPr>
      </w:pPr>
    </w:p>
    <w:p>
      <w:pPr>
        <w:ind w:left="3900"/>
        <w:spacing w:after="0"/>
        <w:tabs>
          <w:tab w:leader="none" w:pos="4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3176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1762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Todd King</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Co-Secretary</w:t>
      </w: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P-SQUARED, LLC,</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Guarantor</w:t>
      </w:r>
    </w:p>
    <w:p>
      <w:pPr>
        <w:spacing w:after="0" w:line="207" w:lineRule="exact"/>
        <w:rPr>
          <w:sz w:val="20"/>
          <w:szCs w:val="20"/>
          <w:color w:val="auto"/>
        </w:rPr>
      </w:pPr>
    </w:p>
    <w:p>
      <w:pPr>
        <w:ind w:left="3900"/>
        <w:spacing w:after="0"/>
        <w:tabs>
          <w:tab w:leader="none" w:pos="4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3176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762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Todd King</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Co-Secretary</w:t>
      </w: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FPF WAVELAND, INC.,</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Guarantor</w:t>
      </w:r>
    </w:p>
    <w:p>
      <w:pPr>
        <w:spacing w:after="0" w:line="207" w:lineRule="exact"/>
        <w:rPr>
          <w:sz w:val="20"/>
          <w:szCs w:val="20"/>
          <w:color w:val="auto"/>
        </w:rPr>
      </w:pPr>
    </w:p>
    <w:p>
      <w:pPr>
        <w:ind w:left="3900"/>
        <w:spacing w:after="0"/>
        <w:tabs>
          <w:tab w:leader="none" w:pos="4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3176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1762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Todd King</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Co-Secretary</w:t>
      </w:r>
    </w:p>
    <w:p>
      <w:pPr>
        <w:spacing w:after="0" w:line="196" w:lineRule="exact"/>
        <w:rPr>
          <w:sz w:val="20"/>
          <w:szCs w:val="20"/>
          <w:color w:val="auto"/>
        </w:rPr>
      </w:pPr>
    </w:p>
    <w:p>
      <w:pPr>
        <w:ind w:left="3900" w:right="1700" w:firstLine="2"/>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FSP III KENDRICK PURCHASING POWER HOLDINGS, INC., </w:t>
      </w:r>
      <w:r>
        <w:rPr>
          <w:rFonts w:ascii="Times New Roman" w:cs="Times New Roman" w:eastAsia="Times New Roman" w:hAnsi="Times New Roman"/>
          <w:sz w:val="20"/>
          <w:szCs w:val="20"/>
          <w:color w:val="auto"/>
        </w:rPr>
        <w:t>as a Guarantor</w:t>
      </w:r>
    </w:p>
    <w:p>
      <w:pPr>
        <w:spacing w:after="0" w:line="156" w:lineRule="exact"/>
        <w:rPr>
          <w:sz w:val="20"/>
          <w:szCs w:val="20"/>
          <w:color w:val="auto"/>
        </w:rPr>
      </w:pPr>
    </w:p>
    <w:p>
      <w:pPr>
        <w:ind w:left="3900"/>
        <w:spacing w:after="0"/>
        <w:tabs>
          <w:tab w:leader="none" w:pos="4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3176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Todd King</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Co-Secretary</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PURCHASING POWER HOLDINGS, LLC,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Guarantor</w:t>
      </w:r>
    </w:p>
    <w:p>
      <w:pPr>
        <w:spacing w:after="0" w:line="214" w:lineRule="exact"/>
        <w:rPr>
          <w:sz w:val="20"/>
          <w:szCs w:val="20"/>
          <w:color w:val="auto"/>
        </w:rPr>
      </w:pPr>
    </w:p>
    <w:p>
      <w:pPr>
        <w:ind w:left="3900"/>
        <w:spacing w:after="0"/>
        <w:tabs>
          <w:tab w:leader="none" w:pos="4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3176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Todd King</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Co-Secretary</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PURCHASING POWER, LLC,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Guarantor</w:t>
      </w:r>
    </w:p>
    <w:p>
      <w:pPr>
        <w:spacing w:after="0" w:line="214" w:lineRule="exact"/>
        <w:rPr>
          <w:sz w:val="20"/>
          <w:szCs w:val="20"/>
          <w:color w:val="auto"/>
        </w:rPr>
      </w:pPr>
    </w:p>
    <w:p>
      <w:pPr>
        <w:ind w:left="3900"/>
        <w:spacing w:after="0"/>
        <w:tabs>
          <w:tab w:leader="none" w:pos="4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3176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1762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Todd King</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color w:val="auto"/>
        </w:rPr>
        <w:t>[Signature Page to Supplemental Indenture]</w:t>
      </w:r>
    </w:p>
    <w:p>
      <w:pPr>
        <w:sectPr>
          <w:pgSz w:w="11900" w:h="16838" w:orient="portrait"/>
          <w:cols w:equalWidth="0" w:num="1">
            <w:col w:w="11240"/>
          </w:cols>
          <w:pgMar w:left="320" w:top="1413" w:right="3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68" w:lineRule="exact"/>
        <w:rPr>
          <w:sz w:val="20"/>
          <w:szCs w:val="20"/>
          <w:color w:val="auto"/>
        </w:rPr>
      </w:pPr>
    </w:p>
    <w:p>
      <w:pPr>
        <w:ind w:left="2780" w:right="879" w:firstLine="2"/>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U.S. BANK TRUST COMPANY, NATIONAL ASSOCIATION, </w:t>
      </w:r>
      <w:r>
        <w:rPr>
          <w:rFonts w:ascii="Times New Roman" w:cs="Times New Roman" w:eastAsia="Times New Roman" w:hAnsi="Times New Roman"/>
          <w:sz w:val="20"/>
          <w:szCs w:val="20"/>
          <w:color w:val="auto"/>
        </w:rPr>
        <w:t>as Trustee</w:t>
      </w:r>
    </w:p>
    <w:p>
      <w:pPr>
        <w:spacing w:after="0" w:line="169" w:lineRule="exact"/>
        <w:rPr>
          <w:sz w:val="20"/>
          <w:szCs w:val="20"/>
          <w:color w:val="auto"/>
        </w:rPr>
      </w:pPr>
    </w:p>
    <w:p>
      <w:pPr>
        <w:ind w:left="2780"/>
        <w:spacing w:after="0"/>
        <w:tabs>
          <w:tab w:leader="none" w:pos="32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Greg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2077720</wp:posOffset>
            </wp:positionH>
            <wp:positionV relativeFrom="paragraph">
              <wp:posOffset>-10795</wp:posOffset>
            </wp:positionV>
            <wp:extent cx="13328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Greg Jackson</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Supplemental Indenture]</w:t>
      </w:r>
    </w:p>
    <w:p>
      <w:pPr>
        <w:sectPr>
          <w:pgSz w:w="11900" w:h="16838" w:orient="portrait"/>
          <w:cols w:equalWidth="0" w:num="1">
            <w:col w:w="9019"/>
          </w:cols>
          <w:pgMar w:left="1440" w:top="1413"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JOINDER AGREEMENT</w:t>
      </w:r>
    </w:p>
    <w:p>
      <w:pPr>
        <w:spacing w:after="0" w:line="220" w:lineRule="exact"/>
        <w:rPr>
          <w:sz w:val="20"/>
          <w:szCs w:val="20"/>
          <w:color w:val="auto"/>
        </w:rPr>
      </w:pPr>
    </w:p>
    <w:p>
      <w:pPr>
        <w:jc w:val="both"/>
        <w:ind w:right="980" w:firstLine="648"/>
        <w:spacing w:after="0" w:line="252" w:lineRule="auto"/>
        <w:rPr>
          <w:sz w:val="20"/>
          <w:szCs w:val="20"/>
          <w:color w:val="auto"/>
        </w:rPr>
      </w:pPr>
      <w:r>
        <w:rPr>
          <w:rFonts w:ascii="Times New Roman" w:cs="Times New Roman" w:eastAsia="Times New Roman" w:hAnsi="Times New Roman"/>
          <w:sz w:val="20"/>
          <w:szCs w:val="20"/>
          <w:color w:val="auto"/>
        </w:rPr>
        <w:t>THIS JOINDER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March 17, 2026, is by and among PROG BEACH, LLC, a Delaware limited liability company (“</w:t>
      </w:r>
      <w:r>
        <w:rPr>
          <w:rFonts w:ascii="Times New Roman" w:cs="Times New Roman" w:eastAsia="Times New Roman" w:hAnsi="Times New Roman"/>
          <w:sz w:val="20"/>
          <w:szCs w:val="20"/>
          <w:u w:val="single" w:color="auto"/>
          <w:color w:val="auto"/>
        </w:rPr>
        <w:t>PROG Beach</w:t>
      </w:r>
      <w:r>
        <w:rPr>
          <w:rFonts w:ascii="Times New Roman" w:cs="Times New Roman" w:eastAsia="Times New Roman" w:hAnsi="Times New Roman"/>
          <w:sz w:val="20"/>
          <w:szCs w:val="20"/>
          <w:color w:val="auto"/>
        </w:rPr>
        <w:t>”), P-SQUARED LLC, a Delaware limited liability company (“</w:t>
      </w:r>
      <w:r>
        <w:rPr>
          <w:rFonts w:ascii="Times New Roman" w:cs="Times New Roman" w:eastAsia="Times New Roman" w:hAnsi="Times New Roman"/>
          <w:sz w:val="20"/>
          <w:szCs w:val="20"/>
          <w:u w:val="single" w:color="auto"/>
          <w:color w:val="auto"/>
        </w:rPr>
        <w:t>P-Squared</w:t>
      </w:r>
      <w:r>
        <w:rPr>
          <w:rFonts w:ascii="Times New Roman" w:cs="Times New Roman" w:eastAsia="Times New Roman" w:hAnsi="Times New Roman"/>
          <w:sz w:val="20"/>
          <w:szCs w:val="20"/>
          <w:color w:val="auto"/>
        </w:rPr>
        <w:t>”), FPF WAVELAND, INC., a Delaware corporation (“</w:t>
      </w:r>
      <w:r>
        <w:rPr>
          <w:rFonts w:ascii="Times New Roman" w:cs="Times New Roman" w:eastAsia="Times New Roman" w:hAnsi="Times New Roman"/>
          <w:sz w:val="20"/>
          <w:szCs w:val="20"/>
          <w:u w:val="single" w:color="auto"/>
          <w:color w:val="auto"/>
        </w:rPr>
        <w:t>FPF Waveland</w:t>
      </w:r>
      <w:r>
        <w:rPr>
          <w:rFonts w:ascii="Times New Roman" w:cs="Times New Roman" w:eastAsia="Times New Roman" w:hAnsi="Times New Roman"/>
          <w:sz w:val="20"/>
          <w:szCs w:val="20"/>
          <w:color w:val="auto"/>
        </w:rPr>
        <w:t>”), FSP III KENDRICK PURCHASING POWER HOLDINGS, INC., a Delaware</w:t>
      </w:r>
    </w:p>
    <w:p>
      <w:pPr>
        <w:spacing w:after="0" w:line="1" w:lineRule="exact"/>
        <w:rPr>
          <w:sz w:val="20"/>
          <w:szCs w:val="20"/>
          <w:color w:val="auto"/>
        </w:rPr>
      </w:pPr>
    </w:p>
    <w:p>
      <w:pPr>
        <w:jc w:val="both"/>
        <w:ind w:right="980"/>
        <w:spacing w:after="0" w:line="248" w:lineRule="auto"/>
        <w:rPr>
          <w:sz w:val="20"/>
          <w:szCs w:val="20"/>
          <w:color w:val="auto"/>
        </w:rPr>
      </w:pPr>
      <w:r>
        <w:rPr>
          <w:rFonts w:ascii="Times New Roman" w:cs="Times New Roman" w:eastAsia="Times New Roman" w:hAnsi="Times New Roman"/>
          <w:sz w:val="20"/>
          <w:szCs w:val="20"/>
          <w:color w:val="auto"/>
        </w:rPr>
        <w:t>corporation (“</w:t>
      </w:r>
      <w:r>
        <w:rPr>
          <w:rFonts w:ascii="Times New Roman" w:cs="Times New Roman" w:eastAsia="Times New Roman" w:hAnsi="Times New Roman"/>
          <w:sz w:val="20"/>
          <w:szCs w:val="20"/>
          <w:u w:val="single" w:color="auto"/>
          <w:color w:val="auto"/>
        </w:rPr>
        <w:t>FSP III</w:t>
      </w:r>
      <w:r>
        <w:rPr>
          <w:rFonts w:ascii="Times New Roman" w:cs="Times New Roman" w:eastAsia="Times New Roman" w:hAnsi="Times New Roman"/>
          <w:sz w:val="20"/>
          <w:szCs w:val="20"/>
          <w:color w:val="auto"/>
        </w:rPr>
        <w:t>”), PURCHASING POWER HOLDINGS, LLC, a Delaware limited liability company (“</w:t>
      </w:r>
      <w:r>
        <w:rPr>
          <w:rFonts w:ascii="Times New Roman" w:cs="Times New Roman" w:eastAsia="Times New Roman" w:hAnsi="Times New Roman"/>
          <w:sz w:val="20"/>
          <w:szCs w:val="20"/>
          <w:u w:val="single" w:color="auto"/>
          <w:color w:val="auto"/>
        </w:rPr>
        <w:t>Purchasing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Power Holdings</w:t>
      </w:r>
      <w:r>
        <w:rPr>
          <w:rFonts w:ascii="Times New Roman" w:cs="Times New Roman" w:eastAsia="Times New Roman" w:hAnsi="Times New Roman"/>
          <w:sz w:val="20"/>
          <w:szCs w:val="20"/>
          <w:color w:val="auto"/>
        </w:rPr>
        <w:t>”), PURCHASING POWER, LLC, a Georgia limited liability company (“</w:t>
      </w:r>
      <w:r>
        <w:rPr>
          <w:rFonts w:ascii="Times New Roman" w:cs="Times New Roman" w:eastAsia="Times New Roman" w:hAnsi="Times New Roman"/>
          <w:sz w:val="20"/>
          <w:szCs w:val="20"/>
          <w:u w:val="single" w:color="auto"/>
          <w:color w:val="auto"/>
        </w:rPr>
        <w:t>Purchasing Power</w:t>
      </w:r>
      <w:r>
        <w:rPr>
          <w:rFonts w:ascii="Times New Roman" w:cs="Times New Roman" w:eastAsia="Times New Roman" w:hAnsi="Times New Roman"/>
          <w:sz w:val="20"/>
          <w:szCs w:val="20"/>
          <w:color w:val="auto"/>
        </w:rPr>
        <w:t>” each of Purchasing Power, PROG Beach, P-Squared, FPF Waveland, FSP III, and Purchasing Power Holdings, a “</w:t>
      </w:r>
      <w:r>
        <w:rPr>
          <w:rFonts w:ascii="Times New Roman" w:cs="Times New Roman" w:eastAsia="Times New Roman" w:hAnsi="Times New Roman"/>
          <w:sz w:val="20"/>
          <w:szCs w:val="20"/>
          <w:u w:val="single" w:color="auto"/>
          <w:color w:val="auto"/>
        </w:rPr>
        <w:t>New Subsidiary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New Subsidiaries</w:t>
      </w:r>
      <w:r>
        <w:rPr>
          <w:rFonts w:ascii="Times New Roman" w:cs="Times New Roman" w:eastAsia="Times New Roman" w:hAnsi="Times New Roman"/>
          <w:sz w:val="20"/>
          <w:szCs w:val="20"/>
          <w:color w:val="auto"/>
        </w:rPr>
        <w:t>”), and JPMORGAN CHASE BANK, N.A. (“</w:t>
      </w:r>
      <w:r>
        <w:rPr>
          <w:rFonts w:ascii="Times New Roman" w:cs="Times New Roman" w:eastAsia="Times New Roman" w:hAnsi="Times New Roman"/>
          <w:sz w:val="20"/>
          <w:szCs w:val="20"/>
          <w:u w:val="single" w:color="auto"/>
          <w:color w:val="auto"/>
        </w:rPr>
        <w:t>JPMorgan</w:t>
      </w:r>
      <w:r>
        <w:rPr>
          <w:rFonts w:ascii="Times New Roman" w:cs="Times New Roman" w:eastAsia="Times New Roman" w:hAnsi="Times New Roman"/>
          <w:sz w:val="20"/>
          <w:szCs w:val="20"/>
          <w:color w:val="auto"/>
        </w:rPr>
        <w:t>”), in its capacity as the Administrative Agent under that certain Credit Agreement, dated as of November 24, 2020 (as amended, restated, amended and restated, extended, replaced,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terms defined therein being used herein as therein defined), by and among Progressive Finance Holdings,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PROG HOLDINGS, INC. (f/k/a Aaron’s Holdings Company, Inc.), a Georgia corporation (the “</w:t>
      </w:r>
      <w:r>
        <w:rPr>
          <w:rFonts w:ascii="Times New Roman" w:cs="Times New Roman" w:eastAsia="Times New Roman" w:hAnsi="Times New Roman"/>
          <w:sz w:val="20"/>
          <w:szCs w:val="20"/>
          <w:u w:val="single" w:color="auto"/>
          <w:color w:val="auto"/>
        </w:rPr>
        <w:t>Ultimate Parent</w:t>
      </w:r>
      <w:r>
        <w:rPr>
          <w:rFonts w:ascii="Times New Roman" w:cs="Times New Roman" w:eastAsia="Times New Roman" w:hAnsi="Times New Roman"/>
          <w:sz w:val="20"/>
          <w:szCs w:val="20"/>
          <w:color w:val="auto"/>
        </w:rPr>
        <w:t>”), the other Guarantors party thereto, the Lenders from time to time party thereto, JPMorgan, in its capacities as the Administrative Agent, the Swingline Lender, and an Issuing Bank, and the other Issuing Banks party thereto.</w:t>
      </w:r>
    </w:p>
    <w:p>
      <w:pPr>
        <w:spacing w:after="0" w:line="199" w:lineRule="exact"/>
        <w:rPr>
          <w:sz w:val="20"/>
          <w:szCs w:val="20"/>
          <w:color w:val="auto"/>
        </w:rPr>
      </w:pPr>
    </w:p>
    <w:p>
      <w:pPr>
        <w:jc w:val="both"/>
        <w:ind w:right="980" w:firstLine="648"/>
        <w:spacing w:after="0" w:line="254" w:lineRule="auto"/>
        <w:rPr>
          <w:sz w:val="20"/>
          <w:szCs w:val="20"/>
          <w:color w:val="auto"/>
        </w:rPr>
      </w:pPr>
      <w:r>
        <w:rPr>
          <w:rFonts w:ascii="Times New Roman" w:cs="Times New Roman" w:eastAsia="Times New Roman" w:hAnsi="Times New Roman"/>
          <w:sz w:val="20"/>
          <w:szCs w:val="20"/>
          <w:color w:val="auto"/>
        </w:rPr>
        <w:t>The Borrower is required by Section 5.10 of the Credit Agreement to cause each New Subsidiary to become a Guarantor. Accordingly, each New Subsidiary hereby agrees as follows with the Administrative Agent, for the benefit of the holders of the Obligations:</w:t>
      </w:r>
    </w:p>
    <w:p>
      <w:pPr>
        <w:spacing w:after="0" w:line="174" w:lineRule="exact"/>
        <w:rPr>
          <w:sz w:val="20"/>
          <w:szCs w:val="20"/>
          <w:color w:val="auto"/>
        </w:rPr>
      </w:pPr>
    </w:p>
    <w:p>
      <w:pPr>
        <w:jc w:val="both"/>
        <w:ind w:right="980" w:firstLine="640"/>
        <w:spacing w:after="0" w:line="253" w:lineRule="auto"/>
        <w:tabs>
          <w:tab w:leader="none" w:pos="97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New Subsidiary hereby acknowledges, agrees and confirms that, by its execution of this Agreement, such New Subsidiary will be deemed to be a party to the Credit Agreement and a “Guarantor” for all purposes of the Credit Agreement and the other Loan Documents, and shall have all of the obligations of a Guarantor thereunder as if it had executed the Credit Agreement. Each New Subsidiary hereby ratifies, as of the date hereof, and agrees to be bound by, all of the terms, provisions and conditions applicable to the Guarantors contained in the Credit Agreement and in each other Loan Document.</w:t>
      </w:r>
    </w:p>
    <w:p>
      <w:pPr>
        <w:spacing w:after="0" w:line="192" w:lineRule="exact"/>
        <w:rPr>
          <w:rFonts w:ascii="Times New Roman" w:cs="Times New Roman" w:eastAsia="Times New Roman" w:hAnsi="Times New Roman"/>
          <w:sz w:val="20"/>
          <w:szCs w:val="20"/>
          <w:color w:val="auto"/>
        </w:rPr>
      </w:pPr>
    </w:p>
    <w:p>
      <w:pPr>
        <w:jc w:val="both"/>
        <w:ind w:right="980" w:firstLine="640"/>
        <w:spacing w:after="0" w:line="250" w:lineRule="auto"/>
        <w:tabs>
          <w:tab w:leader="none" w:pos="97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New Subsidiary hereby acknowledges, agrees and confirms that, by its execution of this Agreement, such New Subsidiary will be deemed to be a party to the Guarantee Agreement and a “Guarantor” (as such term is defined in the Guarantee Agreement) for all purposes of the Guarantee Agreement, and shall have all of the obligations of a Guarantor thereunder as if it had executed the Guarantee Agreement. Each New Subsidiary hereby ratifies, as of the date hereof, and agrees to be bound by, all of the terms, provisions and conditions applicable to the Guarantors contained in the Guarantee Agreement. Without limiting the generality of the foregoing terms of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each New Subsidiary unconditionally guarantees, jointly with the other Guarantors and severally, as a primary obligor and not merely as a surety, all of the Guaranteed Obligations (as defined in the Guarantee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Guaranteed Obligations shall exclude any Excluded Swap Obligations.</w:t>
      </w:r>
    </w:p>
    <w:p>
      <w:pPr>
        <w:spacing w:after="0" w:line="192" w:lineRule="exact"/>
        <w:rPr>
          <w:rFonts w:ascii="Times New Roman" w:cs="Times New Roman" w:eastAsia="Times New Roman" w:hAnsi="Times New Roman"/>
          <w:sz w:val="20"/>
          <w:szCs w:val="20"/>
          <w:color w:val="auto"/>
        </w:rPr>
      </w:pPr>
    </w:p>
    <w:p>
      <w:pPr>
        <w:jc w:val="both"/>
        <w:ind w:right="980" w:firstLine="640"/>
        <w:spacing w:after="0" w:line="253" w:lineRule="auto"/>
        <w:tabs>
          <w:tab w:leader="none" w:pos="97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New Subsidiary hereby acknowledges, agrees and confirms that, by its execution of this Agreement, such New Subsidiary will be deemed to be a party to the Security Agreement, and shall have all the obligations of an “Obligor” (as such term is defined in the Security Agreement) thereunder as if it had executed the Security Agreement. Each New Subsidiary hereby ratifies, as of the date hereof, and agrees to be bound by, all of the terms, provisions and conditions contained in the Security Agreement. Without limiting generality of the foregoing terms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to secure the prompt payment and performance in full when due, whether by lapse of time, acceleration, mandatory prepayment or otherwise, of the Secured Obligations (as defined in the Security Agreement), each New Subsidiary</w:t>
      </w:r>
    </w:p>
    <w:p>
      <w:pPr>
        <w:sectPr>
          <w:pgSz w:w="11900" w:h="16838" w:orient="portrait"/>
          <w:cols w:equalWidth="0" w:num="1">
            <w:col w:w="10900"/>
          </w:cols>
          <w:pgMar w:left="660" w:top="1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9"/>
          <w:szCs w:val="19"/>
          <w:color w:val="auto"/>
        </w:rPr>
        <w:t>hereby grants to the Administrative Agent, for the benefit of the holders of the Secured Obligations, a continuing security</w:t>
      </w:r>
    </w:p>
    <w:p>
      <w:pPr>
        <w:sectPr>
          <w:pgSz w:w="11900" w:h="16838" w:orient="portrait"/>
          <w:cols w:equalWidth="0" w:num="1">
            <w:col w:w="9799"/>
          </w:cols>
          <w:pgMar w:left="660" w:top="1210" w:right="1440" w:bottom="1440" w:gutter="0" w:footer="0" w:header="0"/>
        </w:sectPr>
      </w:pPr>
    </w:p>
    <w:bookmarkStart w:id="64" w:name="page65"/>
    <w:bookmarkEnd w:id="64"/>
    <w:p>
      <w:pPr>
        <w:ind w:right="960"/>
        <w:spacing w:after="0" w:line="283" w:lineRule="auto"/>
        <w:rPr>
          <w:sz w:val="20"/>
          <w:szCs w:val="20"/>
          <w:color w:val="auto"/>
        </w:rPr>
      </w:pPr>
      <w:r>
        <w:rPr>
          <w:rFonts w:ascii="Times New Roman" w:cs="Times New Roman" w:eastAsia="Times New Roman" w:hAnsi="Times New Roman"/>
          <w:sz w:val="20"/>
          <w:szCs w:val="20"/>
          <w:color w:val="auto"/>
        </w:rPr>
        <w:t>interest in, and a right to set off against, any and all right, title and interest of such New Subsidiary in and to the Collateral (as such term is defined in the Security Agreement) of such New Subsidiary.</w:t>
      </w:r>
    </w:p>
    <w:p>
      <w:pPr>
        <w:spacing w:after="0" w:line="160" w:lineRule="exact"/>
        <w:rPr>
          <w:sz w:val="20"/>
          <w:szCs w:val="20"/>
          <w:color w:val="auto"/>
        </w:rPr>
      </w:pPr>
    </w:p>
    <w:p>
      <w:pPr>
        <w:ind w:right="1100" w:firstLine="640"/>
        <w:spacing w:after="0" w:line="269" w:lineRule="auto"/>
        <w:tabs>
          <w:tab w:leader="none" w:pos="97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New Subsidiary hereby represents and warrants to the Administrative Agent, for the benefit of the holders of the Obligations, that:</w:t>
      </w:r>
    </w:p>
    <w:p>
      <w:pPr>
        <w:spacing w:after="0" w:line="172" w:lineRule="exact"/>
        <w:rPr>
          <w:rFonts w:ascii="Times New Roman" w:cs="Times New Roman" w:eastAsia="Times New Roman" w:hAnsi="Times New Roman"/>
          <w:sz w:val="20"/>
          <w:szCs w:val="20"/>
          <w:color w:val="auto"/>
        </w:rPr>
      </w:pPr>
    </w:p>
    <w:p>
      <w:pPr>
        <w:jc w:val="both"/>
        <w:ind w:left="640" w:right="980" w:firstLine="648"/>
        <w:spacing w:after="0" w:line="261" w:lineRule="auto"/>
        <w:tabs>
          <w:tab w:leader="none" w:pos="160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attached hereto sets forth the name of, the ownership interest (direct or indirect) of the Ultimate Parent in, the jurisdiction of organization of, and the type of, such New Subsidiary, in each case as of the date hereof.</w:t>
      </w:r>
    </w:p>
    <w:p>
      <w:pPr>
        <w:spacing w:after="0" w:line="181" w:lineRule="exact"/>
        <w:rPr>
          <w:rFonts w:ascii="Times New Roman" w:cs="Times New Roman" w:eastAsia="Times New Roman" w:hAnsi="Times New Roman"/>
          <w:sz w:val="20"/>
          <w:szCs w:val="20"/>
          <w:color w:val="auto"/>
        </w:rPr>
      </w:pPr>
    </w:p>
    <w:p>
      <w:pPr>
        <w:jc w:val="both"/>
        <w:ind w:left="640" w:right="980" w:firstLine="648"/>
        <w:spacing w:after="0" w:line="253" w:lineRule="auto"/>
        <w:tabs>
          <w:tab w:leader="none" w:pos="16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attached hereto is all Pledged Equity (as defined in the Security Agreement) of such New Subsidiary. As of the date hereof, such New Subsidiary owns all certificated Capital Stock in any Subsidiary that is required to be pledged and delivered to the Administrative Agent under the Security Agreement, other than as 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attached hereto, and all such certificated Capital Stock has been delivered to the Administrative Agent.</w:t>
      </w:r>
    </w:p>
    <w:p>
      <w:pPr>
        <w:spacing w:after="0" w:line="191" w:lineRule="exact"/>
        <w:rPr>
          <w:rFonts w:ascii="Times New Roman" w:cs="Times New Roman" w:eastAsia="Times New Roman" w:hAnsi="Times New Roman"/>
          <w:sz w:val="20"/>
          <w:szCs w:val="20"/>
          <w:color w:val="auto"/>
        </w:rPr>
      </w:pPr>
    </w:p>
    <w:p>
      <w:pPr>
        <w:jc w:val="both"/>
        <w:ind w:left="640" w:right="980" w:firstLine="648"/>
        <w:spacing w:after="0" w:line="254" w:lineRule="auto"/>
        <w:tabs>
          <w:tab w:leader="none" w:pos="160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hereof, such New Subsidiary has no Commercial Tort Claims (as defined in the Security Agreement) seeking damages in excess of $2,000,000 in any individual instance or $5,000,000 in the aggregate when taken together with all Commercial Tort Claims of all of the other Obligors (as defined in the Security Agreement), other than as 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attached hereto.</w:t>
      </w:r>
    </w:p>
    <w:p>
      <w:pPr>
        <w:spacing w:after="0" w:line="187" w:lineRule="exact"/>
        <w:rPr>
          <w:rFonts w:ascii="Times New Roman" w:cs="Times New Roman" w:eastAsia="Times New Roman" w:hAnsi="Times New Roman"/>
          <w:sz w:val="20"/>
          <w:szCs w:val="20"/>
          <w:color w:val="auto"/>
        </w:rPr>
      </w:pPr>
    </w:p>
    <w:p>
      <w:pPr>
        <w:jc w:val="both"/>
        <w:ind w:left="640" w:right="980" w:firstLine="648"/>
        <w:spacing w:after="0" w:line="249" w:lineRule="auto"/>
        <w:tabs>
          <w:tab w:leader="none" w:pos="16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attached hereto is a list of all registrations or applications for Copyrights (as such term is defined in the Security Agreement), Patents (as such term is defined in the Security Agreement) and Trademarks (as such term is defined in the Security Agreement) and all material Copyright Licenses (as such term is defined in the Security Agreement), Patent Licenses (as such term is defined in the Security Agreement) and Trademark Licenses (as such term is defined in the Security Agreement) (excluding “off-the-shelf” licenses pursuant to standard licensing terms which have not been modified or customized by a third party for any New Subsidiary) owned by such New Subsidiary in its own name, or to which any New Subsidiary is a party. All registrations or applications pertaining to such Copyrights, Patents and Trademarks as have been 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attached hereto have been duly and properly filed, and to such New Subsidiary’s knowledge, each Copyright, Patent and Trademark of such New Subsidiary is valid, subsisting, unexpired, enforceable and has not been abandoned. Except as 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attached hereto, none of such Copyrights, Patents and Trademarks is the subject of any exclusive licensing or franchise agreement as of the date hereof.</w:t>
      </w:r>
    </w:p>
    <w:p>
      <w:pPr>
        <w:spacing w:after="0" w:line="201" w:lineRule="exact"/>
        <w:rPr>
          <w:rFonts w:ascii="Times New Roman" w:cs="Times New Roman" w:eastAsia="Times New Roman" w:hAnsi="Times New Roman"/>
          <w:sz w:val="20"/>
          <w:szCs w:val="20"/>
          <w:color w:val="auto"/>
        </w:rPr>
      </w:pPr>
    </w:p>
    <w:p>
      <w:pPr>
        <w:ind w:left="640" w:right="980" w:firstLine="648"/>
        <w:spacing w:after="0" w:line="283" w:lineRule="auto"/>
        <w:tabs>
          <w:tab w:leader="none" w:pos="160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attached hereto, such New Subsidiary does not owns any Material Real Estate as of the date hereof.</w:t>
      </w:r>
    </w:p>
    <w:p>
      <w:pPr>
        <w:spacing w:after="0" w:line="146" w:lineRule="exact"/>
        <w:rPr>
          <w:rFonts w:ascii="Times New Roman" w:cs="Times New Roman" w:eastAsia="Times New Roman" w:hAnsi="Times New Roman"/>
          <w:sz w:val="20"/>
          <w:szCs w:val="20"/>
          <w:color w:val="auto"/>
        </w:rPr>
      </w:pPr>
    </w:p>
    <w:p>
      <w:pPr>
        <w:jc w:val="both"/>
        <w:ind w:left="640" w:right="980" w:firstLine="648"/>
        <w:spacing w:after="0" w:line="258" w:lineRule="auto"/>
        <w:tabs>
          <w:tab w:leader="none" w:pos="160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attached hereto, such New Subsidiary does not have any Deposit Account (as such term is defined in the Security Agreement) (other than Excluded Accounts (as such term is defined in the Security Agreement)) or Securities Account (as such term is defined in the Security Agreement) that has a balance (or which holds assets with a fair market value) equal to or greater than $5,000,000.</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7</w:t>
      </w:r>
      <w:r>
        <w:rPr>
          <w:rFonts w:ascii="Times New Roman" w:cs="Times New Roman" w:eastAsia="Times New Roman" w:hAnsi="Times New Roman"/>
          <w:sz w:val="20"/>
          <w:szCs w:val="20"/>
          <w:color w:val="auto"/>
        </w:rPr>
        <w:t xml:space="preserve"> attached hereto, such New Subsidiary does not have any Collateral with a book value in excess of $5,000,000 that, as of the date hereof, is in the possession or control of a warehouseman, bailee or any agent or processor of such New Subsidiary.</w:t>
      </w:r>
    </w:p>
    <w:p>
      <w:pPr>
        <w:sectPr>
          <w:pgSz w:w="11900" w:h="16838" w:orient="portrait"/>
          <w:cols w:equalWidth="0" w:num="1">
            <w:col w:w="10900"/>
          </w:cols>
          <w:pgMar w:left="660" w:top="1399" w:right="339" w:bottom="1440" w:gutter="0" w:footer="0" w:header="0"/>
        </w:sectPr>
      </w:pPr>
    </w:p>
    <w:bookmarkStart w:id="65" w:name="page66"/>
    <w:bookmarkEnd w:id="65"/>
    <w:p>
      <w:pPr>
        <w:spacing w:after="0" w:line="203" w:lineRule="exact"/>
        <w:rPr>
          <w:sz w:val="20"/>
          <w:szCs w:val="20"/>
          <w:color w:val="auto"/>
        </w:rPr>
      </w:pPr>
    </w:p>
    <w:p>
      <w:pPr>
        <w:jc w:val="both"/>
        <w:ind w:left="-640" w:firstLine="640"/>
        <w:spacing w:after="0" w:line="261" w:lineRule="auto"/>
        <w:tabs>
          <w:tab w:leader="none" w:pos="3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each New Subsidiary for purposes of all notices and other communications is the address designated for all Loan Parties in Section 10.01(a)(i) of the Credit Agreement or such other address as such New Subsidiary may from time to time notify the Administrative Agent of in writing.</w:t>
      </w:r>
    </w:p>
    <w:p>
      <w:pPr>
        <w:spacing w:after="0" w:line="154" w:lineRule="exact"/>
        <w:rPr>
          <w:rFonts w:ascii="Times New Roman" w:cs="Times New Roman" w:eastAsia="Times New Roman" w:hAnsi="Times New Roman"/>
          <w:sz w:val="20"/>
          <w:szCs w:val="20"/>
          <w:color w:val="auto"/>
        </w:rPr>
      </w:pPr>
    </w:p>
    <w:p>
      <w:pPr>
        <w:jc w:val="both"/>
        <w:ind w:left="-640" w:firstLine="640"/>
        <w:spacing w:after="0" w:line="268" w:lineRule="auto"/>
        <w:tabs>
          <w:tab w:leader="none" w:pos="3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execution of this Agreement by each New Subsidiary, such New Subsidiary hereby waives, to the fullest extent permitted by applicable law presentment or protest to, demand of or payment from the other Loan Parties of any of the Guaranteed Obligations, and also waives notice of acceptance of its guarantee and notice of protest for nonpayment.</w:t>
      </w:r>
    </w:p>
    <w:p>
      <w:pPr>
        <w:spacing w:after="0" w:line="161" w:lineRule="exact"/>
        <w:rPr>
          <w:rFonts w:ascii="Times New Roman" w:cs="Times New Roman" w:eastAsia="Times New Roman" w:hAnsi="Times New Roman"/>
          <w:sz w:val="20"/>
          <w:szCs w:val="20"/>
          <w:color w:val="auto"/>
        </w:rPr>
      </w:pPr>
    </w:p>
    <w:p>
      <w:pPr>
        <w:jc w:val="both"/>
        <w:ind w:left="-640" w:firstLine="640"/>
        <w:spacing w:after="0" w:line="257" w:lineRule="auto"/>
        <w:tabs>
          <w:tab w:leader="none" w:pos="3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New Subsidiary hereby covenants and agrees with the Administrative Agent that, within five (5) days of the date hereof (or such later date as the Administrative Agent may agree in its sole discretion), such New Subsidiary shall provide Administrative Agent with a duly executed control agreement with respect to any Deposit Account (as such term is defined in the Security Agreement) (other than Excluded Accounts (as such term is defined in the Security Agreement)) or Securities Account (as such term is defined in the Security Agreement)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attached hereto.</w:t>
      </w:r>
    </w:p>
    <w:p>
      <w:pPr>
        <w:spacing w:after="0" w:line="172" w:lineRule="exact"/>
        <w:rPr>
          <w:rFonts w:ascii="Times New Roman" w:cs="Times New Roman" w:eastAsia="Times New Roman" w:hAnsi="Times New Roman"/>
          <w:sz w:val="20"/>
          <w:szCs w:val="20"/>
          <w:color w:val="auto"/>
        </w:rPr>
      </w:pPr>
    </w:p>
    <w:p>
      <w:pPr>
        <w:jc w:val="both"/>
        <w:ind w:left="-640" w:firstLine="640"/>
        <w:spacing w:after="0" w:line="253" w:lineRule="auto"/>
        <w:tabs>
          <w:tab w:leader="none" w:pos="3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Subject to Section 10.06 of the Credit Agreement, this Agreement may be in the form of an electronic record and may be executed using Electronic Signatures, including facsimile and .pdf, and shall be considered an original, and shall have the same legal effect, validity and enforceability as a paper record.</w:t>
      </w:r>
    </w:p>
    <w:p>
      <w:pPr>
        <w:spacing w:after="0" w:line="179" w:lineRule="exact"/>
        <w:rPr>
          <w:rFonts w:ascii="Times New Roman" w:cs="Times New Roman" w:eastAsia="Times New Roman" w:hAnsi="Times New Roman"/>
          <w:sz w:val="20"/>
          <w:szCs w:val="20"/>
          <w:color w:val="auto"/>
        </w:rPr>
      </w:pPr>
    </w:p>
    <w:p>
      <w:pPr>
        <w:jc w:val="both"/>
        <w:ind w:left="-640" w:firstLine="640"/>
        <w:spacing w:after="0" w:line="258" w:lineRule="auto"/>
        <w:tabs>
          <w:tab w:leader="none" w:pos="3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85" w:lineRule="exact"/>
        <w:rPr>
          <w:rFonts w:ascii="Times New Roman" w:cs="Times New Roman" w:eastAsia="Times New Roman" w:hAnsi="Times New Roman"/>
          <w:sz w:val="20"/>
          <w:szCs w:val="20"/>
          <w:color w:val="auto"/>
        </w:rPr>
      </w:pPr>
    </w:p>
    <w:p>
      <w:pPr>
        <w:jc w:val="both"/>
        <w:ind w:left="-640" w:firstLine="640"/>
        <w:spacing w:after="0" w:line="261" w:lineRule="auto"/>
        <w:tabs>
          <w:tab w:leader="none" w:pos="32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Sections 10.09(b), 10.09(c), 10.09(d) and 10.10 of the Credit Agreement with respect to submission to jurisdiction, waiver of venue and waiver of jury trial are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the parties hereto agree to such terms.</w:t>
      </w:r>
    </w:p>
    <w:p>
      <w:pPr>
        <w:spacing w:after="0" w:line="17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ectPr>
          <w:pgSz w:w="11900" w:h="16838" w:orient="portrait"/>
          <w:cols w:equalWidth="0" w:num="1">
            <w:col w:w="9280"/>
          </w:cols>
          <w:pgMar w:left="1300" w:top="1440" w:right="1319" w:bottom="1440" w:gutter="0" w:footer="0" w:header="0"/>
        </w:sectPr>
      </w:pPr>
    </w:p>
    <w:bookmarkStart w:id="66" w:name="page67"/>
    <w:bookmarkEnd w:id="66"/>
    <w:p>
      <w:pPr>
        <w:ind w:left="640"/>
        <w:spacing w:after="0"/>
        <w:rPr>
          <w:sz w:val="20"/>
          <w:szCs w:val="20"/>
          <w:color w:val="auto"/>
        </w:rPr>
      </w:pPr>
      <w:r>
        <w:rPr>
          <w:rFonts w:ascii="Times New Roman" w:cs="Times New Roman" w:eastAsia="Times New Roman" w:hAnsi="Times New Roman"/>
          <w:sz w:val="19"/>
          <w:szCs w:val="19"/>
          <w:color w:val="181818"/>
        </w:rPr>
        <w:t>IN WI1NESS WHEREOF</w:t>
      </w:r>
      <w:r>
        <w:rPr>
          <w:rFonts w:ascii="Times New Roman" w:cs="Times New Roman" w:eastAsia="Times New Roman" w:hAnsi="Times New Roman"/>
          <w:sz w:val="19"/>
          <w:szCs w:val="19"/>
          <w:color w:val="525252"/>
        </w:rPr>
        <w:t>,</w:t>
      </w:r>
      <w:r>
        <w:rPr>
          <w:rFonts w:ascii="Times New Roman" w:cs="Times New Roman" w:eastAsia="Times New Roman" w:hAnsi="Times New Roman"/>
          <w:sz w:val="19"/>
          <w:szCs w:val="19"/>
          <w:color w:val="181818"/>
        </w:rPr>
        <w:t xml:space="preserve"> each New Subsidiary has caused this Agreement to be duly executed by an authorized officer</w:t>
      </w:r>
      <w:r>
        <w:rPr>
          <w:rFonts w:ascii="Times New Roman" w:cs="Times New Roman" w:eastAsia="Times New Roman" w:hAnsi="Times New Roman"/>
          <w:sz w:val="19"/>
          <w:szCs w:val="19"/>
          <w:color w:val="3B3B3D"/>
        </w:rPr>
        <w:t>,</w:t>
      </w:r>
    </w:p>
    <w:p>
      <w:pPr>
        <w:spacing w:after="0" w:line="2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181818"/>
        </w:rPr>
        <w:t xml:space="preserve">and the Administrative Agent has caused the same to be accepted by an authorized </w:t>
      </w:r>
      <w:r>
        <w:rPr>
          <w:rFonts w:ascii="Times New Roman" w:cs="Times New Roman" w:eastAsia="Times New Roman" w:hAnsi="Times New Roman"/>
          <w:sz w:val="19"/>
          <w:szCs w:val="19"/>
          <w:color w:val="2D2D2D"/>
        </w:rPr>
        <w:t>officer,</w:t>
      </w:r>
      <w:r>
        <w:rPr>
          <w:rFonts w:ascii="Times New Roman" w:cs="Times New Roman" w:eastAsia="Times New Roman" w:hAnsi="Times New Roman"/>
          <w:sz w:val="19"/>
          <w:szCs w:val="19"/>
          <w:color w:val="181818"/>
        </w:rPr>
        <w:t xml:space="preserve"> </w:t>
      </w:r>
      <w:r>
        <w:rPr>
          <w:rFonts w:ascii="Times New Roman" w:cs="Times New Roman" w:eastAsia="Times New Roman" w:hAnsi="Times New Roman"/>
          <w:sz w:val="21"/>
          <w:szCs w:val="21"/>
          <w:color w:val="181818"/>
        </w:rPr>
        <w:t>in</w:t>
      </w:r>
      <w:r>
        <w:rPr>
          <w:rFonts w:ascii="Times New Roman" w:cs="Times New Roman" w:eastAsia="Times New Roman" w:hAnsi="Times New Roman"/>
          <w:sz w:val="19"/>
          <w:szCs w:val="19"/>
          <w:color w:val="181818"/>
        </w:rPr>
        <w:t xml:space="preserve"> each </w:t>
      </w:r>
      <w:r>
        <w:rPr>
          <w:rFonts w:ascii="Times New Roman" w:cs="Times New Roman" w:eastAsia="Times New Roman" w:hAnsi="Times New Roman"/>
          <w:sz w:val="19"/>
          <w:szCs w:val="19"/>
          <w:color w:val="2D2D2D"/>
        </w:rPr>
        <w:t>case,</w:t>
      </w:r>
      <w:r>
        <w:rPr>
          <w:rFonts w:ascii="Times New Roman" w:cs="Times New Roman" w:eastAsia="Times New Roman" w:hAnsi="Times New Roman"/>
          <w:sz w:val="19"/>
          <w:szCs w:val="19"/>
          <w:color w:val="181818"/>
        </w:rPr>
        <w:t xml:space="preserve"> as of the day and </w:t>
      </w:r>
      <w:r>
        <w:rPr>
          <w:rFonts w:ascii="Times New Roman" w:cs="Times New Roman" w:eastAsia="Times New Roman" w:hAnsi="Times New Roman"/>
          <w:sz w:val="19"/>
          <w:szCs w:val="19"/>
          <w:color w:val="2D2D2D"/>
        </w:rPr>
        <w:t>year</w:t>
      </w:r>
      <w:r>
        <w:rPr>
          <w:rFonts w:ascii="Times New Roman" w:cs="Times New Roman" w:eastAsia="Times New Roman" w:hAnsi="Times New Roman"/>
          <w:sz w:val="19"/>
          <w:szCs w:val="19"/>
          <w:color w:val="181818"/>
        </w:rPr>
        <w:t xml:space="preserve"> first written above.</w:t>
      </w:r>
    </w:p>
    <w:p>
      <w:pPr>
        <w:spacing w:after="0" w:line="200" w:lineRule="exact"/>
        <w:rPr>
          <w:sz w:val="20"/>
          <w:szCs w:val="20"/>
          <w:color w:val="auto"/>
        </w:rPr>
      </w:pPr>
    </w:p>
    <w:p>
      <w:pPr>
        <w:spacing w:after="0" w:line="32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9"/>
          <w:szCs w:val="19"/>
          <w:color w:val="181818"/>
        </w:rPr>
        <w:t>PROG BEACH, LLC,</w:t>
      </w:r>
    </w:p>
    <w:p>
      <w:pPr>
        <w:spacing w:after="0" w:line="2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9"/>
          <w:szCs w:val="19"/>
          <w:color w:val="181818"/>
        </w:rPr>
        <w:t>a Delaware limited liability company</w:t>
      </w:r>
    </w:p>
    <w:p>
      <w:pPr>
        <w:spacing w:after="0" w:line="200" w:lineRule="exact"/>
        <w:rPr>
          <w:sz w:val="20"/>
          <w:szCs w:val="20"/>
          <w:color w:val="auto"/>
        </w:rPr>
      </w:pPr>
    </w:p>
    <w:p>
      <w:pPr>
        <w:spacing w:after="0" w:line="286" w:lineRule="exact"/>
        <w:rPr>
          <w:sz w:val="20"/>
          <w:szCs w:val="20"/>
          <w:color w:val="auto"/>
        </w:rPr>
      </w:pPr>
    </w:p>
    <w:p>
      <w:pPr>
        <w:jc w:val="center"/>
        <w:ind w:right="380"/>
        <w:spacing w:after="0"/>
        <w:tabs>
          <w:tab w:leader="none" w:pos="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-10795</wp:posOffset>
            </wp:positionV>
            <wp:extent cx="10661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9"/>
          <w:szCs w:val="19"/>
          <w:color w:val="181818"/>
        </w:rPr>
        <w:t>Name:</w:t>
      </w:r>
      <w:r>
        <w:rPr>
          <w:sz w:val="20"/>
          <w:szCs w:val="20"/>
          <w:color w:val="auto"/>
        </w:rPr>
        <w:tab/>
      </w:r>
      <w:r>
        <w:rPr>
          <w:rFonts w:ascii="Times New Roman" w:cs="Times New Roman" w:eastAsia="Times New Roman" w:hAnsi="Times New Roman"/>
          <w:sz w:val="18"/>
          <w:szCs w:val="18"/>
          <w:color w:val="181818"/>
        </w:rPr>
        <w:t>Todd King</w:t>
      </w:r>
    </w:p>
    <w:p>
      <w:pPr>
        <w:ind w:left="5520"/>
        <w:spacing w:after="0"/>
        <w:rPr>
          <w:sz w:val="20"/>
          <w:szCs w:val="20"/>
          <w:color w:val="auto"/>
        </w:rPr>
      </w:pPr>
      <w:r>
        <w:rPr>
          <w:rFonts w:ascii="Times New Roman" w:cs="Times New Roman" w:eastAsia="Times New Roman" w:hAnsi="Times New Roman"/>
          <w:sz w:val="19"/>
          <w:szCs w:val="19"/>
          <w:color w:val="181818"/>
        </w:rPr>
        <w:t>Title: Co-Secretary</w:t>
      </w:r>
    </w:p>
    <w:p>
      <w:pPr>
        <w:sectPr>
          <w:pgSz w:w="11900" w:h="16838" w:orient="portrait"/>
          <w:cols w:equalWidth="0" w:num="1">
            <w:col w:w="9960"/>
          </w:cols>
          <w:pgMar w:left="820" w:top="1355" w:right="1119" w:bottom="1440" w:gutter="0" w:footer="0" w:header="0"/>
        </w:sectPr>
      </w:pPr>
    </w:p>
    <w:bookmarkStart w:id="67" w:name="page68"/>
    <w:bookmarkEnd w:id="67"/>
    <w:p>
      <w:pPr>
        <w:spacing w:after="0" w:line="7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181818"/>
        </w:rPr>
        <w:t>P-SQUARED LLC,</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181818"/>
        </w:rPr>
        <w:t>a Delaware limited liability company</w:t>
      </w:r>
    </w:p>
    <w:p>
      <w:pPr>
        <w:spacing w:after="0" w:line="200" w:lineRule="exact"/>
        <w:rPr>
          <w:sz w:val="20"/>
          <w:szCs w:val="20"/>
          <w:color w:val="auto"/>
        </w:rPr>
      </w:pPr>
    </w:p>
    <w:p>
      <w:pPr>
        <w:spacing w:after="0" w:line="297" w:lineRule="exact"/>
        <w:rPr>
          <w:sz w:val="20"/>
          <w:szCs w:val="20"/>
          <w:color w:val="auto"/>
        </w:rPr>
      </w:pPr>
    </w:p>
    <w:p>
      <w:pPr>
        <w:ind w:left="4720"/>
        <w:spacing w:after="0"/>
        <w:tabs>
          <w:tab w:leader="none" w:pos="5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-10795</wp:posOffset>
            </wp:positionV>
            <wp:extent cx="10661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8"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9"/>
          <w:szCs w:val="19"/>
          <w:color w:val="181818"/>
        </w:rPr>
        <w:t>Name:</w:t>
      </w:r>
      <w:r>
        <w:rPr>
          <w:sz w:val="20"/>
          <w:szCs w:val="20"/>
          <w:color w:val="auto"/>
        </w:rPr>
        <w:tab/>
      </w:r>
      <w:r>
        <w:rPr>
          <w:rFonts w:ascii="Times New Roman" w:cs="Times New Roman" w:eastAsia="Times New Roman" w:hAnsi="Times New Roman"/>
          <w:sz w:val="18"/>
          <w:szCs w:val="18"/>
          <w:color w:val="181818"/>
        </w:rPr>
        <w:t>Todd King</w:t>
      </w:r>
    </w:p>
    <w:p>
      <w:pPr>
        <w:spacing w:after="0" w:line="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181818"/>
        </w:rPr>
        <w:t>Title: Co-Secretary</w:t>
      </w:r>
    </w:p>
    <w:p>
      <w:pPr>
        <w:sectPr>
          <w:pgSz w:w="11900" w:h="16838" w:orient="portrait"/>
          <w:cols w:equalWidth="0" w:num="1">
            <w:col w:w="9019"/>
          </w:cols>
          <w:pgMar w:left="1440" w:top="1440" w:right="1440" w:bottom="1440" w:gutter="0" w:footer="0" w:header="0"/>
        </w:sectPr>
      </w:pPr>
    </w:p>
    <w:bookmarkStart w:id="68" w:name="page69"/>
    <w:bookmarkEnd w:id="68"/>
    <w:p>
      <w:pPr>
        <w:ind w:left="4720"/>
        <w:spacing w:after="0"/>
        <w:rPr>
          <w:sz w:val="20"/>
          <w:szCs w:val="20"/>
          <w:color w:val="auto"/>
        </w:rPr>
      </w:pPr>
      <w:r>
        <w:rPr>
          <w:rFonts w:ascii="Times New Roman" w:cs="Times New Roman" w:eastAsia="Times New Roman" w:hAnsi="Times New Roman"/>
          <w:sz w:val="18"/>
          <w:szCs w:val="18"/>
          <w:color w:val="181818"/>
        </w:rPr>
        <w:t>FPF WAVELAND, INC,</w:t>
      </w:r>
    </w:p>
    <w:p>
      <w:pPr>
        <w:spacing w:after="0" w:line="3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181818"/>
        </w:rPr>
        <w:t>a Delaware corporation</w:t>
      </w:r>
    </w:p>
    <w:p>
      <w:pPr>
        <w:spacing w:after="0" w:line="200" w:lineRule="exact"/>
        <w:rPr>
          <w:sz w:val="20"/>
          <w:szCs w:val="20"/>
          <w:color w:val="auto"/>
        </w:rPr>
      </w:pPr>
    </w:p>
    <w:p>
      <w:pPr>
        <w:spacing w:after="0" w:line="286" w:lineRule="exact"/>
        <w:rPr>
          <w:sz w:val="20"/>
          <w:szCs w:val="20"/>
          <w:color w:val="auto"/>
        </w:rPr>
      </w:pPr>
    </w:p>
    <w:p>
      <w:pPr>
        <w:ind w:left="4720"/>
        <w:spacing w:after="0"/>
        <w:tabs>
          <w:tab w:leader="none" w:pos="5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-10795</wp:posOffset>
            </wp:positionV>
            <wp:extent cx="10661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8"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9"/>
          <w:szCs w:val="19"/>
          <w:color w:val="181818"/>
        </w:rPr>
        <w:t>Name:</w:t>
      </w:r>
      <w:r>
        <w:rPr>
          <w:sz w:val="20"/>
          <w:szCs w:val="20"/>
          <w:color w:val="auto"/>
        </w:rPr>
        <w:tab/>
      </w:r>
      <w:r>
        <w:rPr>
          <w:rFonts w:ascii="Times New Roman" w:cs="Times New Roman" w:eastAsia="Times New Roman" w:hAnsi="Times New Roman"/>
          <w:sz w:val="18"/>
          <w:szCs w:val="18"/>
          <w:color w:val="181818"/>
        </w:rPr>
        <w:t>Todd King</w:t>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181818"/>
        </w:rPr>
        <w:t>Title: Co-Secretary</w:t>
      </w:r>
    </w:p>
    <w:p>
      <w:pPr>
        <w:sectPr>
          <w:pgSz w:w="11900" w:h="16838" w:orient="portrait"/>
          <w:cols w:equalWidth="0" w:num="1">
            <w:col w:w="9019"/>
          </w:cols>
          <w:pgMar w:left="1440" w:top="1355" w:right="1440" w:bottom="1440" w:gutter="0" w:footer="0" w:header="0"/>
        </w:sectPr>
      </w:pPr>
    </w:p>
    <w:bookmarkStart w:id="69" w:name="page70"/>
    <w:bookmarkEnd w:id="69"/>
    <w:p>
      <w:pPr>
        <w:ind w:left="4720"/>
        <w:spacing w:after="0" w:line="280" w:lineRule="auto"/>
        <w:rPr>
          <w:sz w:val="20"/>
          <w:szCs w:val="20"/>
          <w:color w:val="auto"/>
        </w:rPr>
      </w:pPr>
      <w:r>
        <w:rPr>
          <w:rFonts w:ascii="Times New Roman" w:cs="Times New Roman" w:eastAsia="Times New Roman" w:hAnsi="Times New Roman"/>
          <w:sz w:val="19"/>
          <w:szCs w:val="19"/>
          <w:color w:val="181818"/>
        </w:rPr>
        <w:t>FSP III KENDRICK PURCHASING POWER HOLDINGS, INC., a Delaware corporation</w:t>
      </w:r>
    </w:p>
    <w:p>
      <w:pPr>
        <w:spacing w:after="0" w:line="200" w:lineRule="exact"/>
        <w:rPr>
          <w:sz w:val="20"/>
          <w:szCs w:val="20"/>
          <w:color w:val="auto"/>
        </w:rPr>
      </w:pPr>
    </w:p>
    <w:p>
      <w:pPr>
        <w:spacing w:after="0" w:line="239" w:lineRule="exact"/>
        <w:rPr>
          <w:sz w:val="20"/>
          <w:szCs w:val="20"/>
          <w:color w:val="auto"/>
        </w:rPr>
      </w:pPr>
    </w:p>
    <w:p>
      <w:pPr>
        <w:ind w:left="4720"/>
        <w:spacing w:after="0"/>
        <w:tabs>
          <w:tab w:leader="none" w:pos="5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-10795</wp:posOffset>
            </wp:positionV>
            <wp:extent cx="10661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8"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9"/>
          <w:szCs w:val="19"/>
          <w:color w:val="181818"/>
        </w:rPr>
        <w:t>Name:</w:t>
      </w:r>
      <w:r>
        <w:rPr>
          <w:sz w:val="20"/>
          <w:szCs w:val="20"/>
          <w:color w:val="auto"/>
        </w:rPr>
        <w:tab/>
      </w:r>
      <w:r>
        <w:rPr>
          <w:rFonts w:ascii="Times New Roman" w:cs="Times New Roman" w:eastAsia="Times New Roman" w:hAnsi="Times New Roman"/>
          <w:sz w:val="18"/>
          <w:szCs w:val="18"/>
          <w:color w:val="181818"/>
        </w:rPr>
        <w:t>Todd King</w:t>
      </w:r>
    </w:p>
    <w:p>
      <w:pPr>
        <w:spacing w:after="0" w:line="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181818"/>
        </w:rPr>
        <w:t>Title: Co-Secretary</w:t>
      </w:r>
    </w:p>
    <w:p>
      <w:pPr>
        <w:sectPr>
          <w:pgSz w:w="11900" w:h="16838" w:orient="portrait"/>
          <w:cols w:equalWidth="0" w:num="1">
            <w:col w:w="9780"/>
          </w:cols>
          <w:pgMar w:left="1440" w:top="1261" w:right="679" w:bottom="1440" w:gutter="0" w:footer="0" w:header="0"/>
        </w:sectPr>
      </w:pPr>
    </w:p>
    <w:bookmarkStart w:id="70" w:name="page71"/>
    <w:bookmarkEnd w:id="70"/>
    <w:p>
      <w:pPr>
        <w:spacing w:after="0" w:line="6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181818"/>
        </w:rPr>
        <w:t>PURCHASING POWER HOLDINGS, LLC,</w:t>
      </w:r>
    </w:p>
    <w:p>
      <w:pPr>
        <w:spacing w:after="0" w:line="3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181818"/>
        </w:rPr>
        <w:t>a Delaware limited liability company</w:t>
      </w:r>
    </w:p>
    <w:p>
      <w:pPr>
        <w:spacing w:after="0" w:line="200" w:lineRule="exact"/>
        <w:rPr>
          <w:sz w:val="20"/>
          <w:szCs w:val="20"/>
          <w:color w:val="auto"/>
        </w:rPr>
      </w:pPr>
    </w:p>
    <w:p>
      <w:pPr>
        <w:spacing w:after="0" w:line="286" w:lineRule="exact"/>
        <w:rPr>
          <w:sz w:val="20"/>
          <w:szCs w:val="20"/>
          <w:color w:val="auto"/>
        </w:rPr>
      </w:pPr>
    </w:p>
    <w:p>
      <w:pPr>
        <w:ind w:left="4720"/>
        <w:spacing w:after="0"/>
        <w:tabs>
          <w:tab w:leader="none" w:pos="5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-10795</wp:posOffset>
            </wp:positionV>
            <wp:extent cx="10661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8"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9"/>
          <w:szCs w:val="19"/>
          <w:color w:val="181818"/>
        </w:rPr>
        <w:t>Name:</w:t>
      </w:r>
      <w:r>
        <w:rPr>
          <w:sz w:val="20"/>
          <w:szCs w:val="20"/>
          <w:color w:val="auto"/>
        </w:rPr>
        <w:tab/>
      </w:r>
      <w:r>
        <w:rPr>
          <w:rFonts w:ascii="Times New Roman" w:cs="Times New Roman" w:eastAsia="Times New Roman" w:hAnsi="Times New Roman"/>
          <w:sz w:val="18"/>
          <w:szCs w:val="18"/>
          <w:color w:val="181818"/>
        </w:rPr>
        <w:t>Todd King</w:t>
      </w:r>
    </w:p>
    <w:p>
      <w:pPr>
        <w:spacing w:after="0" w:line="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181818"/>
        </w:rPr>
        <w:t>Title: Co-Secretary</w:t>
      </w:r>
    </w:p>
    <w:p>
      <w:pPr>
        <w:sectPr>
          <w:pgSz w:w="11900" w:h="16838" w:orient="portrait"/>
          <w:cols w:equalWidth="0" w:num="1">
            <w:col w:w="9019"/>
          </w:cols>
          <w:pgMar w:left="1440" w:top="1440" w:right="1440" w:bottom="1440" w:gutter="0" w:footer="0" w:header="0"/>
        </w:sectPr>
      </w:pPr>
    </w:p>
    <w:bookmarkStart w:id="71" w:name="page72"/>
    <w:bookmarkEnd w:id="71"/>
    <w:p>
      <w:pPr>
        <w:ind w:left="4720"/>
        <w:spacing w:after="0"/>
        <w:rPr>
          <w:sz w:val="20"/>
          <w:szCs w:val="20"/>
          <w:color w:val="auto"/>
        </w:rPr>
      </w:pPr>
      <w:r>
        <w:rPr>
          <w:rFonts w:ascii="Times New Roman" w:cs="Times New Roman" w:eastAsia="Times New Roman" w:hAnsi="Times New Roman"/>
          <w:sz w:val="19"/>
          <w:szCs w:val="19"/>
          <w:color w:val="181818"/>
        </w:rPr>
        <w:t>PURCHASING POWER, LLC,</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181818"/>
        </w:rPr>
        <w:t>a Georgia limited liability company</w:t>
      </w:r>
    </w:p>
    <w:p>
      <w:pPr>
        <w:spacing w:after="0" w:line="200" w:lineRule="exact"/>
        <w:rPr>
          <w:sz w:val="20"/>
          <w:szCs w:val="20"/>
          <w:color w:val="auto"/>
        </w:rPr>
      </w:pPr>
    </w:p>
    <w:p>
      <w:pPr>
        <w:spacing w:after="0" w:line="297" w:lineRule="exact"/>
        <w:rPr>
          <w:sz w:val="20"/>
          <w:szCs w:val="20"/>
          <w:color w:val="auto"/>
        </w:rPr>
      </w:pPr>
    </w:p>
    <w:p>
      <w:pPr>
        <w:ind w:left="4720"/>
        <w:spacing w:after="0"/>
        <w:tabs>
          <w:tab w:leader="none" w:pos="5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-10795</wp:posOffset>
            </wp:positionV>
            <wp:extent cx="10661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8"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9"/>
          <w:szCs w:val="19"/>
          <w:color w:val="181818"/>
        </w:rPr>
        <w:t>Name:</w:t>
      </w:r>
      <w:r>
        <w:rPr>
          <w:sz w:val="20"/>
          <w:szCs w:val="20"/>
          <w:color w:val="auto"/>
        </w:rPr>
        <w:tab/>
      </w:r>
      <w:r>
        <w:rPr>
          <w:rFonts w:ascii="Times New Roman" w:cs="Times New Roman" w:eastAsia="Times New Roman" w:hAnsi="Times New Roman"/>
          <w:sz w:val="18"/>
          <w:szCs w:val="18"/>
          <w:color w:val="181818"/>
        </w:rPr>
        <w:t>Todd King</w:t>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181818"/>
        </w:rPr>
        <w:t>Title: Authorized Signatory</w:t>
      </w:r>
    </w:p>
    <w:p>
      <w:pPr>
        <w:sectPr>
          <w:pgSz w:w="11900" w:h="16838" w:orient="portrait"/>
          <w:cols w:equalWidth="0" w:num="1">
            <w:col w:w="9019"/>
          </w:cols>
          <w:pgMar w:left="1440" w:top="123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Acknowledged and accepted: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21" w:lineRule="exact"/>
        <w:rPr>
          <w:sz w:val="20"/>
          <w:szCs w:val="20"/>
          <w:color w:val="auto"/>
        </w:rPr>
      </w:pPr>
    </w:p>
    <w:p>
      <w:pPr>
        <w:jc w:val="right"/>
        <w:ind w:right="7999"/>
        <w:spacing w:after="0"/>
        <w:tabs>
          <w:tab w:leader="none" w:pos="2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Rohan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-10795</wp:posOffset>
            </wp:positionV>
            <wp:extent cx="10883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 w:lineRule="exact"/>
        <w:rPr>
          <w:sz w:val="20"/>
          <w:szCs w:val="20"/>
          <w:color w:val="auto"/>
        </w:rPr>
      </w:pPr>
    </w:p>
    <w:p>
      <w:pPr>
        <w:jc w:val="right"/>
        <w:ind w:right="7959"/>
        <w:spacing w:after="0"/>
        <w:rPr>
          <w:sz w:val="20"/>
          <w:szCs w:val="20"/>
          <w:color w:val="auto"/>
        </w:rPr>
      </w:pPr>
      <w:r>
        <w:rPr>
          <w:rFonts w:ascii="Times New Roman" w:cs="Times New Roman" w:eastAsia="Times New Roman" w:hAnsi="Times New Roman"/>
          <w:sz w:val="20"/>
          <w:szCs w:val="20"/>
          <w:color w:val="auto"/>
        </w:rPr>
        <w:t>Name: Rohan Bhatia</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Title: Executive Director</w:t>
      </w:r>
    </w:p>
    <w:p>
      <w:pPr>
        <w:sectPr>
          <w:pgSz w:w="11900" w:h="16838" w:orient="portrait"/>
          <w:cols w:equalWidth="0" w:num="1">
            <w:col w:w="9799"/>
          </w:cols>
          <w:pgMar w:left="660" w:top="1372" w:right="1440" w:bottom="1440"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A. Michaels, certify that:</w:t>
      </w:r>
    </w:p>
    <w:p>
      <w:pPr>
        <w:spacing w:after="0" w:line="77" w:lineRule="exact"/>
        <w:rPr>
          <w:sz w:val="20"/>
          <w:szCs w:val="20"/>
          <w:color w:val="auto"/>
        </w:rPr>
      </w:pPr>
    </w:p>
    <w:p>
      <w:pPr>
        <w:ind w:left="440" w:hanging="414"/>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 Holdings, Inc.;</w:t>
      </w:r>
    </w:p>
    <w:p>
      <w:pPr>
        <w:spacing w:after="0" w:line="76" w:lineRule="exact"/>
        <w:rPr>
          <w:rFonts w:ascii="Times New Roman" w:cs="Times New Roman" w:eastAsia="Times New Roman" w:hAnsi="Times New Roman"/>
          <w:sz w:val="18"/>
          <w:szCs w:val="18"/>
          <w:color w:val="auto"/>
        </w:rPr>
      </w:pPr>
    </w:p>
    <w:p>
      <w:pPr>
        <w:jc w:val="both"/>
        <w:ind w:left="440" w:right="1160" w:hanging="414"/>
        <w:spacing w:after="0" w:line="226"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440" w:right="1240" w:hanging="414"/>
        <w:spacing w:after="0" w:line="226"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8"/>
          <w:szCs w:val="18"/>
          <w:color w:val="auto"/>
        </w:rPr>
      </w:pPr>
    </w:p>
    <w:p>
      <w:pPr>
        <w:jc w:val="both"/>
        <w:ind w:left="440" w:right="1300" w:hanging="414"/>
        <w:spacing w:after="0" w:line="226"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900" w:right="1200" w:hanging="469"/>
        <w:spacing w:after="0" w:line="224"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00" w:right="1220" w:hanging="469"/>
        <w:spacing w:after="0" w:line="224"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1140" w:hanging="469"/>
        <w:spacing w:after="0" w:line="226"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900" w:right="1140" w:hanging="469"/>
        <w:spacing w:after="0" w:line="226"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right="1360" w:hanging="414"/>
        <w:spacing w:after="0" w:line="226"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20" w:right="1420" w:hanging="589"/>
        <w:spacing w:after="0" w:line="22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20" w:right="1200" w:hanging="589"/>
        <w:spacing w:after="0" w:line="237"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520"/>
        <w:spacing w:after="0"/>
        <w:tabs>
          <w:tab w:leader="none" w:pos="1040" w:val="left"/>
          <w:tab w:leader="none" w:pos="5520" w:val="left"/>
        </w:tabs>
        <w:rPr>
          <w:sz w:val="20"/>
          <w:szCs w:val="20"/>
          <w:color w:val="auto"/>
        </w:rPr>
      </w:pPr>
      <w:r>
        <w:rPr>
          <w:rFonts w:ascii="Times New Roman" w:cs="Times New Roman" w:eastAsia="Times New Roman" w:hAnsi="Times New Roman"/>
          <w:sz w:val="18"/>
          <w:szCs w:val="18"/>
          <w:color w:val="auto"/>
        </w:rPr>
        <w:t>Date:</w:t>
        <w:tab/>
        <w:t>April 29, 2026</w:t>
      </w:r>
      <w:r>
        <w:rPr>
          <w:sz w:val="20"/>
          <w:szCs w:val="20"/>
          <w:color w:val="auto"/>
        </w:rPr>
        <w:tab/>
      </w: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17145</wp:posOffset>
            </wp:positionV>
            <wp:extent cx="18942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120"/>
          </w:cols>
          <w:pgMar w:left="1440" w:top="92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2182"/>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I, Brian Garner, certify that:</w:t>
      </w:r>
    </w:p>
    <w:p>
      <w:pPr>
        <w:spacing w:after="0" w:line="77" w:lineRule="exact"/>
        <w:rPr>
          <w:sz w:val="20"/>
          <w:szCs w:val="20"/>
          <w:color w:val="auto"/>
        </w:rPr>
      </w:pPr>
    </w:p>
    <w:p>
      <w:pPr>
        <w:ind w:left="402" w:hanging="402"/>
        <w:spacing w:after="0"/>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 Holdings, Inc.;</w:t>
      </w:r>
    </w:p>
    <w:p>
      <w:pPr>
        <w:spacing w:after="0" w:line="76" w:lineRule="exact"/>
        <w:rPr>
          <w:rFonts w:ascii="Times New Roman" w:cs="Times New Roman" w:eastAsia="Times New Roman" w:hAnsi="Times New Roman"/>
          <w:sz w:val="18"/>
          <w:szCs w:val="18"/>
          <w:color w:val="auto"/>
        </w:rPr>
      </w:pPr>
    </w:p>
    <w:p>
      <w:pPr>
        <w:jc w:val="both"/>
        <w:ind w:left="402" w:right="1280" w:hanging="402"/>
        <w:spacing w:after="0" w:line="226" w:lineRule="auto"/>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402" w:right="1060" w:hanging="402"/>
        <w:spacing w:after="0" w:line="226" w:lineRule="auto"/>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8"/>
          <w:szCs w:val="18"/>
          <w:color w:val="auto"/>
        </w:rPr>
      </w:pPr>
    </w:p>
    <w:p>
      <w:pPr>
        <w:ind w:left="402" w:right="1180" w:hanging="402"/>
        <w:spacing w:after="0" w:line="226" w:lineRule="auto"/>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922" w:right="1340" w:hanging="517"/>
        <w:spacing w:after="0" w:line="224" w:lineRule="auto"/>
        <w:tabs>
          <w:tab w:leader="none" w:pos="92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22" w:right="1060" w:hanging="517"/>
        <w:spacing w:after="0" w:line="224" w:lineRule="auto"/>
        <w:tabs>
          <w:tab w:leader="none" w:pos="92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922" w:right="1180" w:hanging="517"/>
        <w:spacing w:after="0" w:line="226" w:lineRule="auto"/>
        <w:tabs>
          <w:tab w:leader="none" w:pos="92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922" w:right="1100" w:hanging="517"/>
        <w:spacing w:after="0" w:line="226" w:lineRule="auto"/>
        <w:tabs>
          <w:tab w:leader="none" w:pos="92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02" w:right="1120" w:hanging="402"/>
        <w:spacing w:after="0" w:line="226" w:lineRule="auto"/>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22" w:right="1040" w:hanging="617"/>
        <w:spacing w:after="0" w:line="226" w:lineRule="auto"/>
        <w:tabs>
          <w:tab w:leader="none" w:pos="102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22" w:right="1100" w:hanging="617"/>
        <w:spacing w:after="0" w:line="237" w:lineRule="auto"/>
        <w:tabs>
          <w:tab w:leader="none" w:pos="102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662"/>
        <w:spacing w:after="0"/>
        <w:tabs>
          <w:tab w:leader="none" w:pos="1281" w:val="left"/>
          <w:tab w:leader="none" w:pos="5841" w:val="left"/>
        </w:tabs>
        <w:rPr>
          <w:sz w:val="20"/>
          <w:szCs w:val="20"/>
          <w:color w:val="auto"/>
        </w:rPr>
      </w:pPr>
      <w:r>
        <w:rPr>
          <w:rFonts w:ascii="Times New Roman" w:cs="Times New Roman" w:eastAsia="Times New Roman" w:hAnsi="Times New Roman"/>
          <w:sz w:val="18"/>
          <w:szCs w:val="18"/>
          <w:color w:val="auto"/>
        </w:rPr>
        <w:t>Date:</w:t>
        <w:tab/>
        <w:t>April 29, 2026</w:t>
      </w:r>
      <w:r>
        <w:rPr>
          <w:sz w:val="20"/>
          <w:szCs w:val="20"/>
          <w:color w:val="auto"/>
        </w:rPr>
        <w:tab/>
      </w:r>
      <w:r>
        <w:rPr>
          <w:rFonts w:ascii="Times New Roman" w:cs="Times New Roman" w:eastAsia="Times New Roman" w:hAnsi="Times New Roman"/>
          <w:sz w:val="17"/>
          <w:szCs w:val="17"/>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17145</wp:posOffset>
            </wp:positionV>
            <wp:extent cx="17227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0" w:lineRule="exact"/>
        <w:rPr>
          <w:sz w:val="20"/>
          <w:szCs w:val="20"/>
          <w:color w:val="auto"/>
        </w:rPr>
      </w:pPr>
    </w:p>
    <w:p>
      <w:pPr>
        <w:ind w:left="5862"/>
        <w:spacing w:after="0"/>
        <w:rPr>
          <w:sz w:val="20"/>
          <w:szCs w:val="20"/>
          <w:color w:val="auto"/>
        </w:rPr>
      </w:pPr>
      <w:r>
        <w:rPr>
          <w:rFonts w:ascii="Times New Roman" w:cs="Times New Roman" w:eastAsia="Times New Roman" w:hAnsi="Times New Roman"/>
          <w:sz w:val="18"/>
          <w:szCs w:val="18"/>
          <w:color w:val="auto"/>
        </w:rPr>
        <w:t>Brian Garner</w:t>
      </w:r>
    </w:p>
    <w:p>
      <w:pPr>
        <w:spacing w:after="0" w:line="50" w:lineRule="exact"/>
        <w:rPr>
          <w:sz w:val="20"/>
          <w:szCs w:val="20"/>
          <w:color w:val="auto"/>
        </w:rPr>
      </w:pPr>
    </w:p>
    <w:p>
      <w:pPr>
        <w:ind w:left="5862"/>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22"/>
          </w:cols>
          <w:pgMar w:left="1338"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I, Steven A. Michaels, Chief Executive Officer of PROG Holdings, Inc. (the "Company"), certify, pursuant to Section 906 of the Sarbanes-Oxley Act of 2002, 18 U.S.C. Section 1350 that:</w:t>
      </w:r>
    </w:p>
    <w:p>
      <w:pPr>
        <w:spacing w:after="0" w:line="189" w:lineRule="exact"/>
        <w:rPr>
          <w:sz w:val="20"/>
          <w:szCs w:val="20"/>
          <w:color w:val="auto"/>
        </w:rPr>
      </w:pPr>
    </w:p>
    <w:p>
      <w:pPr>
        <w:ind w:left="60" w:right="4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 ended March 31, 2026 (the "Report") fully complies with the requirements of Section 13(a) of the Securities Exchange Act of 1934 (15 U.S.C. 78m); 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 Michaels</w:t>
            </w:r>
          </w:p>
        </w:tc>
      </w:tr>
      <w:tr>
        <w:trPr>
          <w:trHeight w:val="218"/>
        </w:trPr>
        <w:tc>
          <w:tcPr>
            <w:tcW w:w="758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 Michaels</w:t>
            </w:r>
          </w:p>
        </w:tc>
      </w:tr>
      <w:tr>
        <w:trPr>
          <w:trHeight w:val="234"/>
        </w:trPr>
        <w:tc>
          <w:tcPr>
            <w:tcW w:w="758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4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Garner, Chief Financial Officer of PROG Holdings, Inc. (the "Company"), certify, pursuant to Section 906 of the Sarbanes-Oxley Act of 2002, 18</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U.S.C. Section 1350 that:</w:t>
      </w:r>
    </w:p>
    <w:p>
      <w:pPr>
        <w:spacing w:after="0" w:line="234"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 ended March 31, 2026 (the "Report") fully complies with the requirements of Section 13(a) of the Securities Exchange Act of 1934 (15 U.S.C. 78m); 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76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76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1"/>
      <w:numFmt w:val="bullet"/>
      <w:start w:val="1"/>
    </w:lvl>
  </w:abstractNum>
  <w:abstractNum w:abstractNumId="6">
    <w:nsid w:val="431BD7B7"/>
    <w:multiLevelType w:val="hybridMultilevel"/>
    <w:lvl w:ilvl="0">
      <w:lvlJc w:val="left"/>
      <w:lvlText w:val="2"/>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2"/>
      <w:numFmt w:val="bullet"/>
      <w:start w:val="1"/>
    </w:lvl>
  </w:abstractNum>
  <w:abstractNum w:abstractNumId="12">
    <w:nsid w:val="628C895D"/>
    <w:multiLevelType w:val="hybridMultilevel"/>
    <w:lvl w:ilvl="0">
      <w:lvlJc w:val="left"/>
      <w:lvlText w:val="3"/>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1"/>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endash "/>
      <w:numFmt w:val="bullet"/>
      <w:start w:val="1"/>
    </w:lvl>
  </w:abstractNum>
  <w:abstractNum w:abstractNumId="19">
    <w:nsid w:val="8EDBDAB"/>
    <w:multiLevelType w:val="hybridMultilevel"/>
    <w:lvl w:ilvl="0">
      <w:lvlJc w:val="left"/>
      <w:lvlText w:val="\endash "/>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04"/>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4"/>
    </w:lvl>
    <w:lvl w:ilvl="1">
      <w:lvlJc w:val="left"/>
      <w:lvlText w:val="(%2)"/>
      <w:numFmt w:val="lowerLetter"/>
      <w:start w:val="1"/>
    </w:lvl>
  </w:abstractNum>
  <w:abstractNum w:abstractNumId="26">
    <w:nsid w:val="2CA88611"/>
    <w:multiLevelType w:val="hybridMultilevel"/>
    <w:lvl w:ilvl="0">
      <w:lvlJc w:val="left"/>
      <w:lvlText w:val="%1."/>
      <w:numFmt w:val="decimal"/>
      <w:start w:val="5"/>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2026-04-29T08:38:41Z</dcterms:created>
  <dcterms:modified xsi:type="dcterms:W3CDTF">2026-04-29T08:38:41Z</dcterms:modified>
</cp:coreProperties>
</file>